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8BA92" w14:textId="58CDE070" w:rsidR="00B338B5" w:rsidRPr="007A7600" w:rsidRDefault="00614BA2" w:rsidP="00B338B5">
      <w:pPr>
        <w:rPr>
          <w:rFonts w:ascii="Arial" w:hAnsi="Arial" w:cs="Arial"/>
          <w:b/>
          <w:bCs/>
          <w:sz w:val="28"/>
          <w:szCs w:val="28"/>
        </w:rPr>
      </w:pPr>
      <w:r w:rsidRPr="007A7600">
        <w:rPr>
          <w:rFonts w:ascii="Arial" w:hAnsi="Arial" w:cs="Arial"/>
          <w:b/>
          <w:bCs/>
          <w:sz w:val="28"/>
          <w:szCs w:val="28"/>
        </w:rPr>
        <w:t xml:space="preserve">Group </w:t>
      </w:r>
      <w:r w:rsidR="00F36E6A" w:rsidRPr="007A7600">
        <w:rPr>
          <w:rFonts w:ascii="Arial" w:hAnsi="Arial" w:cs="Arial"/>
          <w:b/>
          <w:bCs/>
          <w:sz w:val="28"/>
          <w:szCs w:val="28"/>
        </w:rPr>
        <w:t>2030</w:t>
      </w:r>
      <w:r w:rsidRPr="007A7600">
        <w:rPr>
          <w:rFonts w:ascii="Arial" w:hAnsi="Arial" w:cs="Arial"/>
          <w:b/>
          <w:bCs/>
          <w:sz w:val="28"/>
          <w:szCs w:val="28"/>
        </w:rPr>
        <w:t xml:space="preserve"> ESG </w:t>
      </w:r>
      <w:r w:rsidR="00457866">
        <w:rPr>
          <w:rFonts w:ascii="Arial" w:hAnsi="Arial" w:cs="Arial"/>
          <w:b/>
          <w:bCs/>
          <w:sz w:val="28"/>
          <w:szCs w:val="28"/>
        </w:rPr>
        <w:t>T</w:t>
      </w:r>
      <w:r w:rsidRPr="007A7600">
        <w:rPr>
          <w:rFonts w:ascii="Arial" w:hAnsi="Arial" w:cs="Arial"/>
          <w:b/>
          <w:bCs/>
          <w:sz w:val="28"/>
          <w:szCs w:val="28"/>
        </w:rPr>
        <w:t xml:space="preserve">argets – </w:t>
      </w:r>
      <w:r w:rsidR="00457866">
        <w:rPr>
          <w:rFonts w:ascii="Arial" w:hAnsi="Arial" w:cs="Arial"/>
          <w:b/>
          <w:bCs/>
          <w:sz w:val="28"/>
          <w:szCs w:val="28"/>
        </w:rPr>
        <w:t>D</w:t>
      </w:r>
      <w:r w:rsidRPr="007A7600">
        <w:rPr>
          <w:rFonts w:ascii="Arial" w:hAnsi="Arial" w:cs="Arial"/>
          <w:b/>
          <w:bCs/>
          <w:sz w:val="28"/>
          <w:szCs w:val="28"/>
        </w:rPr>
        <w:t xml:space="preserve">efinitions </w:t>
      </w:r>
    </w:p>
    <w:p w14:paraId="502142B8" w14:textId="0B0DBAD4" w:rsidR="00DC3AD2" w:rsidRPr="007A7600" w:rsidRDefault="00DC3AD2" w:rsidP="00DC3AD2">
      <w:pPr>
        <w:rPr>
          <w:rFonts w:ascii="Arial" w:hAnsi="Arial" w:cs="Arial"/>
        </w:rPr>
      </w:pPr>
      <w:r w:rsidRPr="007A7600">
        <w:rPr>
          <w:rFonts w:ascii="Arial" w:hAnsi="Arial" w:cs="Arial"/>
        </w:rPr>
        <w:t xml:space="preserve">Our </w:t>
      </w:r>
      <w:r w:rsidR="00BB062F" w:rsidRPr="007A7600">
        <w:rPr>
          <w:rFonts w:ascii="Arial" w:hAnsi="Arial" w:cs="Arial"/>
        </w:rPr>
        <w:t>G</w:t>
      </w:r>
      <w:r w:rsidRPr="007A7600">
        <w:rPr>
          <w:rFonts w:ascii="Arial" w:hAnsi="Arial" w:cs="Arial"/>
        </w:rPr>
        <w:t xml:space="preserve">roup </w:t>
      </w:r>
      <w:r w:rsidR="00BB062F" w:rsidRPr="007A7600">
        <w:rPr>
          <w:rFonts w:ascii="Arial" w:hAnsi="Arial" w:cs="Arial"/>
        </w:rPr>
        <w:t xml:space="preserve">2030 </w:t>
      </w:r>
      <w:r w:rsidRPr="007A7600">
        <w:rPr>
          <w:rFonts w:ascii="Arial" w:hAnsi="Arial" w:cs="Arial"/>
        </w:rPr>
        <w:t xml:space="preserve">ESG targets </w:t>
      </w:r>
      <w:r w:rsidR="00F36E6A" w:rsidRPr="007A7600">
        <w:rPr>
          <w:rFonts w:ascii="Arial" w:hAnsi="Arial" w:cs="Arial"/>
        </w:rPr>
        <w:t xml:space="preserve">are presented on our </w:t>
      </w:r>
      <w:hyperlink r:id="rId11" w:history="1">
        <w:r w:rsidR="00F36E6A" w:rsidRPr="007A7600">
          <w:rPr>
            <w:rStyle w:val="Hyperlink"/>
            <w:rFonts w:ascii="Arial" w:hAnsi="Arial" w:cs="Arial"/>
          </w:rPr>
          <w:t>Pennon Website here</w:t>
        </w:r>
        <w:r w:rsidR="006F7E25" w:rsidRPr="007A7600">
          <w:rPr>
            <w:rStyle w:val="Hyperlink"/>
            <w:rFonts w:ascii="Arial" w:hAnsi="Arial" w:cs="Arial"/>
          </w:rPr>
          <w:t>.</w:t>
        </w:r>
      </w:hyperlink>
      <w:r w:rsidR="006F7E25" w:rsidRPr="007A7600">
        <w:rPr>
          <w:rFonts w:ascii="Arial" w:hAnsi="Arial" w:cs="Arial"/>
        </w:rPr>
        <w:t xml:space="preserve"> </w:t>
      </w:r>
      <w:r w:rsidR="00F36E6A" w:rsidRPr="007A7600">
        <w:rPr>
          <w:rFonts w:ascii="Arial" w:hAnsi="Arial" w:cs="Arial"/>
        </w:rPr>
        <w:t>To drive transparency</w:t>
      </w:r>
      <w:r w:rsidR="00E000FC">
        <w:rPr>
          <w:rFonts w:ascii="Arial" w:hAnsi="Arial" w:cs="Arial"/>
        </w:rPr>
        <w:t xml:space="preserve"> and accountability to these targets</w:t>
      </w:r>
      <w:r w:rsidR="00F36E6A" w:rsidRPr="007A7600">
        <w:rPr>
          <w:rFonts w:ascii="Arial" w:hAnsi="Arial" w:cs="Arial"/>
        </w:rPr>
        <w:t>, w</w:t>
      </w:r>
      <w:r w:rsidRPr="007A7600">
        <w:rPr>
          <w:rFonts w:ascii="Arial" w:hAnsi="Arial" w:cs="Arial"/>
        </w:rPr>
        <w:t xml:space="preserve">e have set out further detail </w:t>
      </w:r>
      <w:r w:rsidR="00DE512F" w:rsidRPr="007A7600">
        <w:rPr>
          <w:rFonts w:ascii="Arial" w:hAnsi="Arial" w:cs="Arial"/>
        </w:rPr>
        <w:t xml:space="preserve">of </w:t>
      </w:r>
      <w:r w:rsidR="00E000FC">
        <w:rPr>
          <w:rFonts w:ascii="Arial" w:hAnsi="Arial" w:cs="Arial"/>
        </w:rPr>
        <w:t xml:space="preserve">each target </w:t>
      </w:r>
      <w:r w:rsidRPr="007A7600">
        <w:rPr>
          <w:rFonts w:ascii="Arial" w:hAnsi="Arial" w:cs="Arial"/>
        </w:rPr>
        <w:t>below.</w:t>
      </w:r>
    </w:p>
    <w:tbl>
      <w:tblPr>
        <w:tblStyle w:val="TableGrid"/>
        <w:tblW w:w="14312" w:type="dxa"/>
        <w:tblLayout w:type="fixed"/>
        <w:tblLook w:val="04A0" w:firstRow="1" w:lastRow="0" w:firstColumn="1" w:lastColumn="0" w:noHBand="0" w:noVBand="1"/>
      </w:tblPr>
      <w:tblGrid>
        <w:gridCol w:w="4038"/>
        <w:gridCol w:w="8715"/>
        <w:gridCol w:w="1559"/>
      </w:tblGrid>
      <w:tr w:rsidR="009D5A86" w:rsidRPr="007A7600" w14:paraId="4D82C97C" w14:textId="77777777" w:rsidTr="7D4D3DCD">
        <w:trPr>
          <w:trHeight w:val="537"/>
          <w:tblHeader/>
        </w:trPr>
        <w:tc>
          <w:tcPr>
            <w:tcW w:w="4038" w:type="dxa"/>
            <w:tcBorders>
              <w:bottom w:val="single" w:sz="4" w:space="0" w:color="auto"/>
            </w:tcBorders>
            <w:vAlign w:val="center"/>
          </w:tcPr>
          <w:p w14:paraId="5B9A023E" w14:textId="77777777" w:rsidR="009D5A86" w:rsidRPr="00E000FC" w:rsidRDefault="009D5A86" w:rsidP="00912BF3">
            <w:pPr>
              <w:rPr>
                <w:rFonts w:ascii="Arial" w:hAnsi="Arial" w:cs="Arial"/>
                <w:b/>
                <w:bCs/>
                <w:noProof/>
              </w:rPr>
            </w:pPr>
            <w:bookmarkStart w:id="0" w:name="_Hlk104287695"/>
            <w:r w:rsidRPr="00E000FC">
              <w:rPr>
                <w:rFonts w:ascii="Arial" w:hAnsi="Arial" w:cs="Arial"/>
                <w:b/>
                <w:bCs/>
                <w:noProof/>
              </w:rPr>
              <w:t>Material Issue and Metric</w:t>
            </w:r>
          </w:p>
        </w:tc>
        <w:tc>
          <w:tcPr>
            <w:tcW w:w="8715" w:type="dxa"/>
            <w:tcBorders>
              <w:bottom w:val="single" w:sz="4" w:space="0" w:color="auto"/>
            </w:tcBorders>
            <w:vAlign w:val="center"/>
          </w:tcPr>
          <w:p w14:paraId="3E54D9DE" w14:textId="77777777" w:rsidR="009D5A86" w:rsidRPr="00E000FC" w:rsidRDefault="009D5A86" w:rsidP="00912BF3">
            <w:pPr>
              <w:rPr>
                <w:rFonts w:ascii="Arial" w:hAnsi="Arial" w:cs="Arial"/>
                <w:b/>
                <w:bCs/>
                <w:noProof/>
              </w:rPr>
            </w:pPr>
            <w:r w:rsidRPr="00E000FC">
              <w:rPr>
                <w:rFonts w:ascii="Arial" w:hAnsi="Arial" w:cs="Arial"/>
                <w:b/>
                <w:bCs/>
                <w:noProof/>
              </w:rPr>
              <w:t>Definition</w:t>
            </w:r>
          </w:p>
        </w:tc>
        <w:tc>
          <w:tcPr>
            <w:tcW w:w="1559" w:type="dxa"/>
            <w:tcBorders>
              <w:bottom w:val="single" w:sz="4" w:space="0" w:color="auto"/>
            </w:tcBorders>
            <w:vAlign w:val="center"/>
          </w:tcPr>
          <w:p w14:paraId="38526F40" w14:textId="0A6F56A9" w:rsidR="009D5A86" w:rsidRPr="00E000FC" w:rsidRDefault="009D5A86" w:rsidP="0082143E">
            <w:pPr>
              <w:jc w:val="center"/>
              <w:rPr>
                <w:rFonts w:ascii="Arial" w:hAnsi="Arial" w:cs="Arial"/>
                <w:b/>
                <w:bCs/>
                <w:noProof/>
              </w:rPr>
            </w:pPr>
            <w:r w:rsidRPr="00E000FC">
              <w:rPr>
                <w:rFonts w:ascii="Arial" w:hAnsi="Arial" w:cs="Arial"/>
                <w:b/>
                <w:bCs/>
                <w:noProof/>
              </w:rPr>
              <w:t>2030 Target</w:t>
            </w:r>
          </w:p>
        </w:tc>
      </w:tr>
      <w:tr w:rsidR="009D5A86" w:rsidRPr="007A7600" w14:paraId="4B174743" w14:textId="77777777" w:rsidTr="7D4D3DCD">
        <w:trPr>
          <w:trHeight w:val="1373"/>
        </w:trPr>
        <w:tc>
          <w:tcPr>
            <w:tcW w:w="4038" w:type="dxa"/>
            <w:tcBorders>
              <w:top w:val="single" w:sz="4" w:space="0" w:color="auto"/>
              <w:left w:val="single" w:sz="4" w:space="0" w:color="auto"/>
              <w:bottom w:val="single" w:sz="4" w:space="0" w:color="auto"/>
              <w:right w:val="single" w:sz="4" w:space="0" w:color="auto"/>
            </w:tcBorders>
            <w:vAlign w:val="center"/>
          </w:tcPr>
          <w:p w14:paraId="003C4610" w14:textId="774E4B83" w:rsidR="009D5A86" w:rsidRPr="007A7600" w:rsidRDefault="2B72D902" w:rsidP="00E000FC">
            <w:pPr>
              <w:rPr>
                <w:rFonts w:ascii="Arial" w:hAnsi="Arial" w:cs="Arial"/>
                <w:b/>
                <w:bCs/>
                <w:noProof/>
                <w:color w:val="538135" w:themeColor="accent6" w:themeShade="BF"/>
              </w:rPr>
            </w:pPr>
            <w:r w:rsidRPr="7D4D3DCD">
              <w:rPr>
                <w:rFonts w:ascii="Arial" w:hAnsi="Arial" w:cs="Arial"/>
                <w:b/>
                <w:bCs/>
                <w:noProof/>
                <w:color w:val="538135" w:themeColor="accent6" w:themeShade="BF"/>
              </w:rPr>
              <w:t>Renewable Electricity Self-Generated (GWh/year)</w:t>
            </w:r>
          </w:p>
        </w:tc>
        <w:tc>
          <w:tcPr>
            <w:tcW w:w="8715" w:type="dxa"/>
            <w:tcBorders>
              <w:top w:val="single" w:sz="4" w:space="0" w:color="auto"/>
              <w:left w:val="single" w:sz="4" w:space="0" w:color="auto"/>
              <w:bottom w:val="single" w:sz="4" w:space="0" w:color="auto"/>
              <w:right w:val="single" w:sz="4" w:space="0" w:color="auto"/>
            </w:tcBorders>
            <w:vAlign w:val="center"/>
          </w:tcPr>
          <w:p w14:paraId="650DD5E6" w14:textId="3DED2B14" w:rsidR="009D5A86" w:rsidRPr="00E000FC" w:rsidRDefault="3F286998" w:rsidP="7D4D3DCD">
            <w:pPr>
              <w:rPr>
                <w:rFonts w:ascii="Arial" w:hAnsi="Arial" w:cs="Arial"/>
                <w:noProof/>
              </w:rPr>
            </w:pPr>
            <w:r w:rsidRPr="7D4D3DCD">
              <w:rPr>
                <w:rFonts w:ascii="Arial" w:hAnsi="Arial" w:cs="Arial"/>
                <w:noProof/>
              </w:rPr>
              <w:t>Total renewable electricity generated by the Group from owned or controlled assets within the reporting period.</w:t>
            </w:r>
          </w:p>
          <w:p w14:paraId="3D4D52CB" w14:textId="5816195A" w:rsidR="009D5A86" w:rsidRPr="00E000FC" w:rsidRDefault="009D5A86" w:rsidP="7D4D3DCD">
            <w:pPr>
              <w:rPr>
                <w:rFonts w:ascii="Arial" w:hAnsi="Arial" w:cs="Arial"/>
                <w:noProof/>
              </w:rPr>
            </w:pPr>
          </w:p>
          <w:p w14:paraId="235896A7" w14:textId="5294572E" w:rsidR="009D5A86" w:rsidRPr="00E000FC" w:rsidRDefault="3F286998" w:rsidP="7D4D3DCD">
            <w:pPr>
              <w:rPr>
                <w:rFonts w:ascii="Arial" w:hAnsi="Arial" w:cs="Arial"/>
                <w:noProof/>
              </w:rPr>
            </w:pPr>
            <w:r w:rsidRPr="7D4D3DCD">
              <w:rPr>
                <w:rFonts w:ascii="Arial" w:hAnsi="Arial" w:cs="Arial"/>
                <w:noProof/>
              </w:rPr>
              <w:t>This target was converted to an absolute target (GWh/year) in April 2026 to drive transparency and accountability</w:t>
            </w:r>
            <w:r w:rsidR="3BB66F0C" w:rsidRPr="7D4D3DCD">
              <w:rPr>
                <w:rFonts w:ascii="Arial" w:hAnsi="Arial" w:cs="Arial"/>
                <w:noProof/>
              </w:rPr>
              <w:t>, without altering the targeted energy output.</w:t>
            </w:r>
          </w:p>
        </w:tc>
        <w:tc>
          <w:tcPr>
            <w:tcW w:w="1559" w:type="dxa"/>
            <w:tcBorders>
              <w:top w:val="single" w:sz="4" w:space="0" w:color="auto"/>
              <w:left w:val="single" w:sz="4" w:space="0" w:color="auto"/>
              <w:bottom w:val="single" w:sz="4" w:space="0" w:color="auto"/>
              <w:right w:val="single" w:sz="4" w:space="0" w:color="auto"/>
            </w:tcBorders>
            <w:vAlign w:val="center"/>
          </w:tcPr>
          <w:p w14:paraId="1BE569C4" w14:textId="1B93AEFB" w:rsidR="009D5A86" w:rsidRPr="00E000FC" w:rsidRDefault="3F286998" w:rsidP="00E000FC">
            <w:pPr>
              <w:jc w:val="center"/>
              <w:rPr>
                <w:rFonts w:ascii="Arial" w:hAnsi="Arial" w:cs="Arial"/>
                <w:noProof/>
              </w:rPr>
            </w:pPr>
            <w:r w:rsidRPr="7D4D3DCD">
              <w:rPr>
                <w:rFonts w:ascii="Arial" w:hAnsi="Arial" w:cs="Arial"/>
                <w:noProof/>
              </w:rPr>
              <w:t>1</w:t>
            </w:r>
            <w:r w:rsidR="6B3587EE" w:rsidRPr="7D4D3DCD">
              <w:rPr>
                <w:rFonts w:ascii="Arial" w:hAnsi="Arial" w:cs="Arial"/>
                <w:noProof/>
              </w:rPr>
              <w:t>55</w:t>
            </w:r>
            <w:r w:rsidRPr="7D4D3DCD">
              <w:rPr>
                <w:rFonts w:ascii="Arial" w:hAnsi="Arial" w:cs="Arial"/>
                <w:noProof/>
              </w:rPr>
              <w:t xml:space="preserve"> GWh/ year</w:t>
            </w:r>
          </w:p>
        </w:tc>
      </w:tr>
      <w:tr w:rsidR="009D5A86" w:rsidRPr="007A7600" w14:paraId="77984ECD" w14:textId="77777777" w:rsidTr="7D4D3DCD">
        <w:trPr>
          <w:trHeight w:val="1646"/>
        </w:trPr>
        <w:tc>
          <w:tcPr>
            <w:tcW w:w="4038" w:type="dxa"/>
            <w:tcBorders>
              <w:top w:val="single" w:sz="4" w:space="0" w:color="auto"/>
              <w:left w:val="single" w:sz="4" w:space="0" w:color="auto"/>
              <w:bottom w:val="single" w:sz="4" w:space="0" w:color="auto"/>
              <w:right w:val="single" w:sz="4" w:space="0" w:color="auto"/>
            </w:tcBorders>
            <w:vAlign w:val="center"/>
          </w:tcPr>
          <w:p w14:paraId="7932C3BF" w14:textId="31D073C7" w:rsidR="009D5A86" w:rsidRPr="007A7600" w:rsidRDefault="009D5A86" w:rsidP="00E000FC">
            <w:pPr>
              <w:rPr>
                <w:rFonts w:ascii="Arial" w:hAnsi="Arial" w:cs="Arial"/>
                <w:b/>
                <w:bCs/>
                <w:noProof/>
                <w:color w:val="538135" w:themeColor="accent6" w:themeShade="BF"/>
              </w:rPr>
            </w:pPr>
            <w:r w:rsidRPr="7D4D3DCD">
              <w:rPr>
                <w:rFonts w:ascii="Arial" w:hAnsi="Arial" w:cs="Arial"/>
                <w:b/>
                <w:bCs/>
                <w:noProof/>
                <w:color w:val="538135" w:themeColor="accent6" w:themeShade="BF"/>
              </w:rPr>
              <w:t>% Reduction in GHG Emissions</w:t>
            </w:r>
            <w:r w:rsidR="00DA626F" w:rsidRPr="7D4D3DCD">
              <w:rPr>
                <w:rFonts w:ascii="Arial" w:hAnsi="Arial" w:cs="Arial"/>
                <w:b/>
                <w:bCs/>
                <w:noProof/>
                <w:color w:val="538135" w:themeColor="accent6" w:themeShade="BF"/>
              </w:rPr>
              <w:t xml:space="preserve"> – </w:t>
            </w:r>
            <w:r w:rsidRPr="7D4D3DCD">
              <w:rPr>
                <w:rFonts w:ascii="Arial" w:hAnsi="Arial" w:cs="Arial"/>
                <w:b/>
                <w:bCs/>
                <w:noProof/>
                <w:color w:val="538135" w:themeColor="accent6" w:themeShade="BF"/>
              </w:rPr>
              <w:t>Scope</w:t>
            </w:r>
            <w:r w:rsidR="00DA626F" w:rsidRPr="7D4D3DCD">
              <w:rPr>
                <w:rFonts w:ascii="Arial" w:hAnsi="Arial" w:cs="Arial"/>
                <w:b/>
                <w:bCs/>
                <w:noProof/>
                <w:color w:val="538135" w:themeColor="accent6" w:themeShade="BF"/>
              </w:rPr>
              <w:t xml:space="preserve"> </w:t>
            </w:r>
            <w:r w:rsidRPr="7D4D3DCD">
              <w:rPr>
                <w:rFonts w:ascii="Arial" w:hAnsi="Arial" w:cs="Arial"/>
                <w:b/>
                <w:bCs/>
                <w:noProof/>
                <w:color w:val="538135" w:themeColor="accent6" w:themeShade="BF"/>
              </w:rPr>
              <w:t>1 and 2 market-based</w:t>
            </w:r>
            <w:r w:rsidR="00DA626F" w:rsidRPr="7D4D3DCD">
              <w:rPr>
                <w:rFonts w:ascii="Arial" w:hAnsi="Arial" w:cs="Arial"/>
                <w:b/>
                <w:bCs/>
                <w:noProof/>
                <w:color w:val="538135" w:themeColor="accent6" w:themeShade="BF"/>
              </w:rPr>
              <w:t xml:space="preserve"> </w:t>
            </w:r>
            <w:r w:rsidR="665873B8" w:rsidRPr="7D4D3DCD">
              <w:rPr>
                <w:rFonts w:ascii="Arial" w:hAnsi="Arial" w:cs="Arial"/>
                <w:b/>
                <w:bCs/>
                <w:noProof/>
                <w:color w:val="538135" w:themeColor="accent6" w:themeShade="BF"/>
              </w:rPr>
              <w:t xml:space="preserve">Science Based Target </w:t>
            </w:r>
            <w:r w:rsidR="00DA626F" w:rsidRPr="7D4D3DCD">
              <w:rPr>
                <w:rFonts w:ascii="Arial" w:hAnsi="Arial" w:cs="Arial"/>
                <w:b/>
                <w:bCs/>
                <w:noProof/>
                <w:color w:val="538135" w:themeColor="accent6" w:themeShade="BF"/>
              </w:rPr>
              <w:t>(SBT</w:t>
            </w:r>
            <w:r w:rsidR="0B648197" w:rsidRPr="7D4D3DCD">
              <w:rPr>
                <w:rFonts w:ascii="Arial" w:hAnsi="Arial" w:cs="Arial"/>
                <w:b/>
                <w:bCs/>
                <w:noProof/>
                <w:color w:val="538135" w:themeColor="accent6" w:themeShade="BF"/>
              </w:rPr>
              <w:t>)</w:t>
            </w:r>
            <w:r w:rsidR="00DA626F" w:rsidRPr="7D4D3DCD">
              <w:rPr>
                <w:rFonts w:ascii="Arial" w:hAnsi="Arial" w:cs="Arial"/>
                <w:b/>
                <w:bCs/>
                <w:noProof/>
                <w:color w:val="538135" w:themeColor="accent6" w:themeShade="BF"/>
              </w:rPr>
              <w:t xml:space="preserve"> verified</w:t>
            </w:r>
          </w:p>
        </w:tc>
        <w:tc>
          <w:tcPr>
            <w:tcW w:w="8715" w:type="dxa"/>
            <w:tcBorders>
              <w:top w:val="single" w:sz="4" w:space="0" w:color="auto"/>
              <w:left w:val="single" w:sz="4" w:space="0" w:color="auto"/>
              <w:bottom w:val="single" w:sz="4" w:space="0" w:color="auto"/>
              <w:right w:val="single" w:sz="4" w:space="0" w:color="auto"/>
            </w:tcBorders>
            <w:vAlign w:val="center"/>
          </w:tcPr>
          <w:p w14:paraId="3639E2DE" w14:textId="77777777" w:rsidR="00E000FC" w:rsidRPr="00083E1A" w:rsidRDefault="009D5A86" w:rsidP="00E000FC">
            <w:pPr>
              <w:rPr>
                <w:rFonts w:ascii="Arial" w:hAnsi="Arial" w:cs="Arial"/>
                <w:noProof/>
              </w:rPr>
            </w:pPr>
            <w:r w:rsidRPr="00083E1A">
              <w:rPr>
                <w:rFonts w:ascii="Arial" w:hAnsi="Arial" w:cs="Arial"/>
                <w:noProof/>
              </w:rPr>
              <w:t xml:space="preserve">The percentage change in the Group's </w:t>
            </w:r>
            <w:bookmarkStart w:id="1" w:name="_Hlk106359524"/>
            <w:r w:rsidRPr="00083E1A">
              <w:rPr>
                <w:rFonts w:ascii="Arial" w:hAnsi="Arial" w:cs="Arial"/>
                <w:noProof/>
              </w:rPr>
              <w:t>Scope 1 and 2 (market based)</w:t>
            </w:r>
            <w:bookmarkEnd w:id="1"/>
            <w:r w:rsidRPr="00083E1A">
              <w:rPr>
                <w:rFonts w:ascii="Arial" w:hAnsi="Arial" w:cs="Arial"/>
                <w:noProof/>
              </w:rPr>
              <w:t xml:space="preserve"> greenhouse gas emissions compared with a 2021/22 baseline year.</w:t>
            </w:r>
          </w:p>
          <w:p w14:paraId="3DA7275B" w14:textId="77777777" w:rsidR="00E000FC" w:rsidRPr="00083E1A" w:rsidRDefault="00E000FC" w:rsidP="00E000FC">
            <w:pPr>
              <w:rPr>
                <w:rFonts w:ascii="Arial" w:hAnsi="Arial" w:cs="Arial"/>
                <w:noProof/>
              </w:rPr>
            </w:pPr>
          </w:p>
          <w:p w14:paraId="03485A8F" w14:textId="45C6F11F" w:rsidR="009D5A86" w:rsidRPr="00E000FC" w:rsidRDefault="009D5A86" w:rsidP="7D4D3DCD">
            <w:pPr>
              <w:rPr>
                <w:rFonts w:ascii="Arial" w:hAnsi="Arial" w:cs="Arial"/>
                <w:noProof/>
                <w:highlight w:val="yellow"/>
              </w:rPr>
            </w:pPr>
            <w:r w:rsidRPr="7D4D3DCD">
              <w:rPr>
                <w:rFonts w:ascii="Arial" w:hAnsi="Arial" w:cs="Arial"/>
                <w:noProof/>
              </w:rPr>
              <w:t xml:space="preserve">Aligned to our near-term </w:t>
            </w:r>
            <w:r w:rsidR="060A8C5F" w:rsidRPr="7D4D3DCD">
              <w:rPr>
                <w:rFonts w:ascii="Arial" w:hAnsi="Arial" w:cs="Arial"/>
                <w:noProof/>
              </w:rPr>
              <w:t>SBT</w:t>
            </w:r>
            <w:r w:rsidRPr="7D4D3DCD">
              <w:rPr>
                <w:rFonts w:ascii="Arial" w:hAnsi="Arial" w:cs="Arial"/>
                <w:noProof/>
              </w:rPr>
              <w:t xml:space="preserve">: </w:t>
            </w:r>
            <w:r w:rsidRPr="7D4D3DCD">
              <w:rPr>
                <w:rFonts w:ascii="Arial" w:hAnsi="Arial" w:cs="Arial"/>
                <w:i/>
                <w:iCs/>
                <w:noProof/>
              </w:rPr>
              <w:t>‘The Group commits to reduce absolute scope 1 and scope 2 GHG emissions 6</w:t>
            </w:r>
            <w:r w:rsidR="061827C8" w:rsidRPr="7D4D3DCD">
              <w:rPr>
                <w:rFonts w:ascii="Arial" w:hAnsi="Arial" w:cs="Arial"/>
                <w:i/>
                <w:iCs/>
                <w:noProof/>
              </w:rPr>
              <w:t>3.09</w:t>
            </w:r>
            <w:r w:rsidRPr="7D4D3DCD">
              <w:rPr>
                <w:rFonts w:ascii="Arial" w:hAnsi="Arial" w:cs="Arial"/>
                <w:i/>
                <w:iCs/>
                <w:noProof/>
              </w:rPr>
              <w:t>% by 2032/33 from a 2021/22 base year’</w:t>
            </w:r>
            <w:r w:rsidRPr="7D4D3DCD">
              <w:rPr>
                <w:rFonts w:ascii="Arial" w:hAnsi="Arial" w:cs="Arial"/>
                <w:noProof/>
              </w:rPr>
              <w:t>.</w:t>
            </w:r>
          </w:p>
          <w:p w14:paraId="1B684365" w14:textId="6DE61BBF" w:rsidR="009D5A86" w:rsidRPr="00E000FC" w:rsidRDefault="009D5A86" w:rsidP="7D4D3DCD">
            <w:pPr>
              <w:rPr>
                <w:rFonts w:ascii="Arial" w:hAnsi="Arial" w:cs="Arial"/>
                <w:noProof/>
              </w:rPr>
            </w:pPr>
          </w:p>
          <w:p w14:paraId="2B8C6C2D" w14:textId="0E3E2800" w:rsidR="009D5A86" w:rsidRPr="00E000FC" w:rsidRDefault="49376A60" w:rsidP="7D4D3DCD">
            <w:pPr>
              <w:rPr>
                <w:rFonts w:ascii="Arial" w:hAnsi="Arial" w:cs="Arial"/>
                <w:noProof/>
              </w:rPr>
            </w:pPr>
            <w:r w:rsidRPr="7D4D3DCD">
              <w:rPr>
                <w:rFonts w:ascii="Arial" w:hAnsi="Arial" w:cs="Arial"/>
                <w:noProof/>
              </w:rPr>
              <w:t>This target was rebaselined to include SES Water and latest climate Science in April 2026.</w:t>
            </w:r>
          </w:p>
        </w:tc>
        <w:tc>
          <w:tcPr>
            <w:tcW w:w="1559" w:type="dxa"/>
            <w:tcBorders>
              <w:top w:val="single" w:sz="4" w:space="0" w:color="auto"/>
              <w:left w:val="single" w:sz="4" w:space="0" w:color="auto"/>
              <w:bottom w:val="single" w:sz="4" w:space="0" w:color="auto"/>
              <w:right w:val="single" w:sz="4" w:space="0" w:color="auto"/>
            </w:tcBorders>
            <w:vAlign w:val="center"/>
          </w:tcPr>
          <w:p w14:paraId="5EC2F0AF" w14:textId="668C8D32" w:rsidR="009D5A86" w:rsidRPr="00E000FC" w:rsidRDefault="2FFF0389" w:rsidP="00E000FC">
            <w:pPr>
              <w:jc w:val="center"/>
              <w:rPr>
                <w:rFonts w:ascii="Arial" w:hAnsi="Arial" w:cs="Arial"/>
                <w:noProof/>
              </w:rPr>
            </w:pPr>
            <w:r w:rsidRPr="7D4D3DCD">
              <w:rPr>
                <w:rFonts w:ascii="Arial" w:hAnsi="Arial" w:cs="Arial"/>
                <w:noProof/>
              </w:rPr>
              <w:t>54</w:t>
            </w:r>
            <w:r w:rsidR="009D5A86" w:rsidRPr="7D4D3DCD">
              <w:rPr>
                <w:rFonts w:ascii="Arial" w:hAnsi="Arial" w:cs="Arial"/>
                <w:noProof/>
              </w:rPr>
              <w:t>%</w:t>
            </w:r>
          </w:p>
        </w:tc>
      </w:tr>
      <w:tr w:rsidR="009D5A86" w:rsidRPr="007A7600" w14:paraId="7DEF3DA1" w14:textId="77777777" w:rsidTr="7D4D3DCD">
        <w:trPr>
          <w:trHeight w:val="1458"/>
        </w:trPr>
        <w:tc>
          <w:tcPr>
            <w:tcW w:w="4038" w:type="dxa"/>
            <w:tcBorders>
              <w:top w:val="single" w:sz="4" w:space="0" w:color="auto"/>
              <w:left w:val="single" w:sz="4" w:space="0" w:color="auto"/>
              <w:bottom w:val="single" w:sz="4" w:space="0" w:color="auto"/>
              <w:right w:val="single" w:sz="4" w:space="0" w:color="auto"/>
            </w:tcBorders>
            <w:vAlign w:val="center"/>
          </w:tcPr>
          <w:p w14:paraId="7E0B9CA1" w14:textId="4BF33A39" w:rsidR="009D5A86" w:rsidRPr="007A7600" w:rsidRDefault="009D5A86" w:rsidP="00E000FC">
            <w:pPr>
              <w:rPr>
                <w:rFonts w:ascii="Arial" w:hAnsi="Arial" w:cs="Arial"/>
                <w:b/>
                <w:bCs/>
                <w:noProof/>
                <w:color w:val="538135" w:themeColor="accent6" w:themeShade="BF"/>
              </w:rPr>
            </w:pPr>
            <w:r w:rsidRPr="007A7600">
              <w:rPr>
                <w:rFonts w:ascii="Arial" w:hAnsi="Arial" w:cs="Arial"/>
                <w:b/>
                <w:bCs/>
                <w:noProof/>
                <w:color w:val="538135" w:themeColor="accent6" w:themeShade="BF"/>
              </w:rPr>
              <w:t>Tree Planting (cumulative)</w:t>
            </w:r>
          </w:p>
        </w:tc>
        <w:tc>
          <w:tcPr>
            <w:tcW w:w="8715" w:type="dxa"/>
            <w:tcBorders>
              <w:top w:val="single" w:sz="4" w:space="0" w:color="auto"/>
              <w:left w:val="single" w:sz="4" w:space="0" w:color="auto"/>
              <w:bottom w:val="single" w:sz="4" w:space="0" w:color="auto"/>
              <w:right w:val="single" w:sz="4" w:space="0" w:color="auto"/>
            </w:tcBorders>
            <w:vAlign w:val="center"/>
          </w:tcPr>
          <w:p w14:paraId="1E84BB3C" w14:textId="3EE87918" w:rsidR="009D5A86" w:rsidRPr="00083E1A" w:rsidRDefault="009D5A86" w:rsidP="00E000FC">
            <w:pPr>
              <w:rPr>
                <w:rFonts w:ascii="Arial" w:hAnsi="Arial" w:cs="Arial"/>
                <w:noProof/>
              </w:rPr>
            </w:pPr>
            <w:r w:rsidRPr="00083E1A">
              <w:rPr>
                <w:rFonts w:ascii="Arial" w:hAnsi="Arial" w:cs="Arial"/>
                <w:noProof/>
              </w:rPr>
              <w:t>Total cumulative number of trees planted or enabled by Pennon programmes. Number of trees are either counted as the number of trees planted or calculated by using a spatial measure of the number of hectares of woodland created equating to an agreed number of trees and hedgerow per hectare.</w:t>
            </w:r>
          </w:p>
        </w:tc>
        <w:tc>
          <w:tcPr>
            <w:tcW w:w="1559" w:type="dxa"/>
            <w:tcBorders>
              <w:top w:val="single" w:sz="4" w:space="0" w:color="auto"/>
              <w:left w:val="single" w:sz="4" w:space="0" w:color="auto"/>
              <w:bottom w:val="single" w:sz="4" w:space="0" w:color="auto"/>
              <w:right w:val="single" w:sz="4" w:space="0" w:color="auto"/>
            </w:tcBorders>
            <w:vAlign w:val="center"/>
          </w:tcPr>
          <w:p w14:paraId="0CAA5799" w14:textId="36B92C46" w:rsidR="009D5A86" w:rsidRPr="00E000FC" w:rsidRDefault="55CD1161" w:rsidP="00E000FC">
            <w:pPr>
              <w:jc w:val="center"/>
              <w:rPr>
                <w:rFonts w:ascii="Arial" w:hAnsi="Arial" w:cs="Arial"/>
                <w:noProof/>
              </w:rPr>
            </w:pPr>
            <w:r w:rsidRPr="21252BF6">
              <w:rPr>
                <w:rFonts w:ascii="Arial" w:hAnsi="Arial" w:cs="Arial"/>
                <w:noProof/>
              </w:rPr>
              <w:t>500,000</w:t>
            </w:r>
            <w:r w:rsidR="6AD322D4" w:rsidRPr="21252BF6">
              <w:rPr>
                <w:rFonts w:ascii="Arial" w:hAnsi="Arial" w:cs="Arial"/>
                <w:noProof/>
              </w:rPr>
              <w:t xml:space="preserve"> trees</w:t>
            </w:r>
          </w:p>
        </w:tc>
      </w:tr>
      <w:tr w:rsidR="009D5A86" w:rsidRPr="007A7600" w14:paraId="67E0CE55" w14:textId="77777777" w:rsidTr="7D4D3DCD">
        <w:trPr>
          <w:trHeight w:val="1534"/>
        </w:trPr>
        <w:tc>
          <w:tcPr>
            <w:tcW w:w="4038" w:type="dxa"/>
            <w:tcBorders>
              <w:top w:val="single" w:sz="4" w:space="0" w:color="auto"/>
              <w:left w:val="single" w:sz="4" w:space="0" w:color="auto"/>
              <w:bottom w:val="single" w:sz="4" w:space="0" w:color="auto"/>
              <w:right w:val="single" w:sz="4" w:space="0" w:color="auto"/>
            </w:tcBorders>
            <w:vAlign w:val="center"/>
          </w:tcPr>
          <w:p w14:paraId="7BF9776D" w14:textId="50B80C30" w:rsidR="009D5A86" w:rsidRPr="007A7600" w:rsidRDefault="009D5A86" w:rsidP="00E000FC">
            <w:pPr>
              <w:rPr>
                <w:rFonts w:ascii="Arial" w:hAnsi="Arial" w:cs="Arial"/>
                <w:b/>
                <w:bCs/>
                <w:noProof/>
                <w:color w:val="538135" w:themeColor="accent6" w:themeShade="BF"/>
              </w:rPr>
            </w:pPr>
            <w:r w:rsidRPr="007A7600">
              <w:rPr>
                <w:rFonts w:ascii="Arial" w:hAnsi="Arial" w:cs="Arial"/>
                <w:b/>
                <w:bCs/>
                <w:noProof/>
                <w:color w:val="538135" w:themeColor="accent6" w:themeShade="BF"/>
              </w:rPr>
              <w:t>Peatland Restoration (cumulative)</w:t>
            </w:r>
          </w:p>
        </w:tc>
        <w:tc>
          <w:tcPr>
            <w:tcW w:w="8715" w:type="dxa"/>
            <w:tcBorders>
              <w:top w:val="single" w:sz="4" w:space="0" w:color="auto"/>
              <w:left w:val="single" w:sz="4" w:space="0" w:color="auto"/>
              <w:bottom w:val="single" w:sz="4" w:space="0" w:color="auto"/>
              <w:right w:val="single" w:sz="4" w:space="0" w:color="auto"/>
            </w:tcBorders>
            <w:vAlign w:val="center"/>
          </w:tcPr>
          <w:p w14:paraId="2C679406" w14:textId="1EDA64AD" w:rsidR="009B311E" w:rsidRPr="00083E1A" w:rsidRDefault="009D5A86" w:rsidP="00E000FC">
            <w:pPr>
              <w:rPr>
                <w:rFonts w:ascii="Arial" w:hAnsi="Arial" w:cs="Arial"/>
                <w:noProof/>
              </w:rPr>
            </w:pPr>
            <w:r w:rsidRPr="00083E1A">
              <w:rPr>
                <w:rFonts w:ascii="Arial" w:hAnsi="Arial" w:cs="Arial"/>
                <w:noProof/>
              </w:rPr>
              <w:t xml:space="preserve">Total cumulative </w:t>
            </w:r>
            <w:r w:rsidR="001D5752" w:rsidRPr="00083E1A">
              <w:rPr>
                <w:rFonts w:ascii="Arial" w:hAnsi="Arial" w:cs="Arial"/>
                <w:noProof/>
              </w:rPr>
              <w:t>hectares</w:t>
            </w:r>
            <w:r w:rsidRPr="00083E1A">
              <w:rPr>
                <w:rFonts w:ascii="Arial" w:hAnsi="Arial" w:cs="Arial"/>
                <w:noProof/>
              </w:rPr>
              <w:t xml:space="preserve"> </w:t>
            </w:r>
            <w:r w:rsidR="00B3741C" w:rsidRPr="00083E1A">
              <w:rPr>
                <w:rFonts w:ascii="Arial" w:hAnsi="Arial" w:cs="Arial"/>
                <w:noProof/>
              </w:rPr>
              <w:t xml:space="preserve">(Ha) </w:t>
            </w:r>
            <w:r w:rsidRPr="00083E1A">
              <w:rPr>
                <w:rFonts w:ascii="Arial" w:hAnsi="Arial" w:cs="Arial"/>
                <w:noProof/>
              </w:rPr>
              <w:t xml:space="preserve">of </w:t>
            </w:r>
            <w:r w:rsidR="001D5752" w:rsidRPr="00083E1A">
              <w:rPr>
                <w:rFonts w:ascii="Arial" w:hAnsi="Arial" w:cs="Arial"/>
                <w:noProof/>
              </w:rPr>
              <w:t>peatland restoration</w:t>
            </w:r>
            <w:r w:rsidRPr="00083E1A">
              <w:rPr>
                <w:rFonts w:ascii="Arial" w:hAnsi="Arial" w:cs="Arial"/>
                <w:noProof/>
              </w:rPr>
              <w:t xml:space="preserve"> enabled </w:t>
            </w:r>
            <w:r w:rsidR="004113B0" w:rsidRPr="00083E1A">
              <w:rPr>
                <w:rFonts w:ascii="Arial" w:hAnsi="Arial" w:cs="Arial"/>
                <w:noProof/>
              </w:rPr>
              <w:t xml:space="preserve">within Pennon’s landholdings or catchments via </w:t>
            </w:r>
            <w:r w:rsidR="0048215B" w:rsidRPr="00083E1A">
              <w:rPr>
                <w:rFonts w:ascii="Arial" w:hAnsi="Arial" w:cs="Arial"/>
                <w:noProof/>
              </w:rPr>
              <w:t>the South West Peatland Partnership</w:t>
            </w:r>
            <w:r w:rsidR="00A50727" w:rsidRPr="00083E1A">
              <w:rPr>
                <w:rFonts w:ascii="Arial" w:hAnsi="Arial" w:cs="Arial"/>
                <w:noProof/>
              </w:rPr>
              <w:t>, since inception</w:t>
            </w:r>
            <w:r w:rsidR="004113B0" w:rsidRPr="00083E1A">
              <w:rPr>
                <w:rFonts w:ascii="Arial" w:hAnsi="Arial" w:cs="Arial"/>
                <w:noProof/>
              </w:rPr>
              <w:t>. Restoration activities include rewetting, sphagnum planting, drain</w:t>
            </w:r>
            <w:r w:rsidR="003F750F" w:rsidRPr="00083E1A">
              <w:rPr>
                <w:rFonts w:ascii="Arial" w:hAnsi="Arial" w:cs="Arial"/>
                <w:noProof/>
              </w:rPr>
              <w:t>age</w:t>
            </w:r>
            <w:r w:rsidR="004113B0" w:rsidRPr="00083E1A">
              <w:rPr>
                <w:rFonts w:ascii="Arial" w:hAnsi="Arial" w:cs="Arial"/>
                <w:noProof/>
              </w:rPr>
              <w:t xml:space="preserve"> blocking, and other best-practice interventions aligned with the IUCN Peatland Code.</w:t>
            </w:r>
          </w:p>
        </w:tc>
        <w:tc>
          <w:tcPr>
            <w:tcW w:w="1559" w:type="dxa"/>
            <w:tcBorders>
              <w:top w:val="single" w:sz="4" w:space="0" w:color="auto"/>
              <w:left w:val="single" w:sz="4" w:space="0" w:color="auto"/>
              <w:bottom w:val="single" w:sz="4" w:space="0" w:color="auto"/>
              <w:right w:val="single" w:sz="4" w:space="0" w:color="auto"/>
            </w:tcBorders>
            <w:vAlign w:val="center"/>
          </w:tcPr>
          <w:p w14:paraId="7CA8841A" w14:textId="5441C031" w:rsidR="009D5A86" w:rsidRPr="00E000FC" w:rsidRDefault="009B311E" w:rsidP="00E000FC">
            <w:pPr>
              <w:jc w:val="center"/>
              <w:rPr>
                <w:rFonts w:ascii="Arial" w:hAnsi="Arial" w:cs="Arial"/>
                <w:noProof/>
              </w:rPr>
            </w:pPr>
            <w:r w:rsidRPr="00E000FC">
              <w:rPr>
                <w:rFonts w:ascii="Arial" w:hAnsi="Arial" w:cs="Arial"/>
                <w:noProof/>
              </w:rPr>
              <w:t>5,1</w:t>
            </w:r>
            <w:r w:rsidR="00B3741C" w:rsidRPr="00E000FC">
              <w:rPr>
                <w:rFonts w:ascii="Arial" w:hAnsi="Arial" w:cs="Arial"/>
                <w:noProof/>
              </w:rPr>
              <w:t>84</w:t>
            </w:r>
            <w:r w:rsidRPr="00E000FC">
              <w:rPr>
                <w:rFonts w:ascii="Arial" w:hAnsi="Arial" w:cs="Arial"/>
                <w:noProof/>
              </w:rPr>
              <w:t xml:space="preserve"> </w:t>
            </w:r>
            <w:r w:rsidR="00B3741C" w:rsidRPr="00E000FC">
              <w:rPr>
                <w:rFonts w:ascii="Arial" w:hAnsi="Arial" w:cs="Arial"/>
                <w:noProof/>
              </w:rPr>
              <w:t>H</w:t>
            </w:r>
            <w:r w:rsidR="0039244B" w:rsidRPr="00E000FC">
              <w:rPr>
                <w:rFonts w:ascii="Arial" w:hAnsi="Arial" w:cs="Arial"/>
                <w:noProof/>
              </w:rPr>
              <w:t>a</w:t>
            </w:r>
          </w:p>
        </w:tc>
      </w:tr>
      <w:tr w:rsidR="009D5A86" w:rsidRPr="007A7600" w14:paraId="689992D6" w14:textId="77777777" w:rsidTr="7D4D3DCD">
        <w:trPr>
          <w:trHeight w:val="1743"/>
        </w:trPr>
        <w:tc>
          <w:tcPr>
            <w:tcW w:w="4038" w:type="dxa"/>
            <w:tcBorders>
              <w:top w:val="single" w:sz="4" w:space="0" w:color="auto"/>
              <w:bottom w:val="single" w:sz="4" w:space="0" w:color="auto"/>
            </w:tcBorders>
            <w:vAlign w:val="center"/>
          </w:tcPr>
          <w:p w14:paraId="7B6088B7" w14:textId="01270A0D" w:rsidR="009D5A86" w:rsidRPr="007A7600" w:rsidRDefault="009D5A86" w:rsidP="00E000FC">
            <w:pPr>
              <w:rPr>
                <w:rFonts w:ascii="Arial" w:hAnsi="Arial" w:cs="Arial"/>
                <w:b/>
                <w:bCs/>
                <w:noProof/>
                <w:color w:val="C45911" w:themeColor="accent2" w:themeShade="BF"/>
              </w:rPr>
            </w:pPr>
            <w:bookmarkStart w:id="2" w:name="_Hlk103960219"/>
            <w:r w:rsidRPr="007A7600">
              <w:rPr>
                <w:rFonts w:ascii="Arial" w:hAnsi="Arial" w:cs="Arial"/>
                <w:b/>
                <w:bCs/>
                <w:noProof/>
                <w:color w:val="C45911" w:themeColor="accent2" w:themeShade="BF"/>
              </w:rPr>
              <w:lastRenderedPageBreak/>
              <w:t xml:space="preserve">Customer </w:t>
            </w:r>
            <w:r w:rsidR="00375468" w:rsidRPr="007A7600">
              <w:rPr>
                <w:rFonts w:ascii="Arial" w:hAnsi="Arial" w:cs="Arial"/>
                <w:b/>
                <w:bCs/>
                <w:noProof/>
                <w:color w:val="C45911" w:themeColor="accent2" w:themeShade="BF"/>
              </w:rPr>
              <w:t>Affordability</w:t>
            </w:r>
          </w:p>
        </w:tc>
        <w:tc>
          <w:tcPr>
            <w:tcW w:w="8715" w:type="dxa"/>
            <w:tcBorders>
              <w:top w:val="single" w:sz="4" w:space="0" w:color="auto"/>
              <w:bottom w:val="single" w:sz="4" w:space="0" w:color="auto"/>
            </w:tcBorders>
            <w:vAlign w:val="center"/>
          </w:tcPr>
          <w:p w14:paraId="4169DD3A" w14:textId="4E398B88" w:rsidR="009D5A86" w:rsidRPr="00E000FC" w:rsidRDefault="00C44B29" w:rsidP="00E000FC">
            <w:pPr>
              <w:rPr>
                <w:rFonts w:ascii="Arial" w:hAnsi="Arial" w:cs="Arial"/>
                <w:noProof/>
              </w:rPr>
            </w:pPr>
            <w:r w:rsidRPr="00C44B29">
              <w:rPr>
                <w:rFonts w:ascii="Arial" w:hAnsi="Arial" w:cs="Arial"/>
                <w:noProof/>
              </w:rPr>
              <w:t>The percentage of customers considered not in water poverty across Pennon’s operating region. A customer is considered in water poverty if their water and sewerage bill exceeds 5% of their equivalised income after housing costs. For water only customers this percentage reduces to 2%, and for sewerage only customers it reduces to 3%. This target reflects our commitment to eradicate water poverty across our region by 2030 through a combination of social tariffs, affordability schemes, and proactive customer support</w:t>
            </w:r>
          </w:p>
        </w:tc>
        <w:tc>
          <w:tcPr>
            <w:tcW w:w="1559" w:type="dxa"/>
            <w:tcBorders>
              <w:top w:val="single" w:sz="4" w:space="0" w:color="auto"/>
              <w:bottom w:val="single" w:sz="4" w:space="0" w:color="auto"/>
            </w:tcBorders>
            <w:vAlign w:val="center"/>
          </w:tcPr>
          <w:p w14:paraId="31E63C06" w14:textId="1AF847F0" w:rsidR="009D5A86" w:rsidRPr="00E000FC" w:rsidRDefault="00375468" w:rsidP="00E000FC">
            <w:pPr>
              <w:jc w:val="center"/>
              <w:rPr>
                <w:rFonts w:ascii="Arial" w:hAnsi="Arial" w:cs="Arial"/>
                <w:noProof/>
              </w:rPr>
            </w:pPr>
            <w:r w:rsidRPr="00E000FC">
              <w:rPr>
                <w:rFonts w:ascii="Arial" w:hAnsi="Arial" w:cs="Arial"/>
                <w:noProof/>
              </w:rPr>
              <w:t>100</w:t>
            </w:r>
            <w:r w:rsidR="009D5A86" w:rsidRPr="00E000FC">
              <w:rPr>
                <w:rFonts w:ascii="Arial" w:hAnsi="Arial" w:cs="Arial"/>
                <w:noProof/>
              </w:rPr>
              <w:t>%</w:t>
            </w:r>
          </w:p>
        </w:tc>
      </w:tr>
      <w:tr w:rsidR="00B9406F" w:rsidRPr="007A7600" w14:paraId="6C62657F" w14:textId="77777777" w:rsidTr="7D4D3DCD">
        <w:trPr>
          <w:trHeight w:val="1197"/>
        </w:trPr>
        <w:tc>
          <w:tcPr>
            <w:tcW w:w="4038" w:type="dxa"/>
            <w:tcBorders>
              <w:bottom w:val="single" w:sz="4" w:space="0" w:color="auto"/>
            </w:tcBorders>
            <w:vAlign w:val="center"/>
          </w:tcPr>
          <w:p w14:paraId="09F47FB7" w14:textId="502C9C47" w:rsidR="00B9406F" w:rsidRPr="007A7600" w:rsidRDefault="00C73F92" w:rsidP="00E000FC">
            <w:pPr>
              <w:rPr>
                <w:rFonts w:ascii="Arial" w:hAnsi="Arial" w:cs="Arial"/>
                <w:b/>
                <w:bCs/>
                <w:noProof/>
                <w:color w:val="C45911" w:themeColor="accent2" w:themeShade="BF"/>
              </w:rPr>
            </w:pPr>
            <w:r w:rsidRPr="007A7600">
              <w:rPr>
                <w:rFonts w:ascii="Arial" w:hAnsi="Arial" w:cs="Arial"/>
                <w:b/>
                <w:bCs/>
                <w:noProof/>
                <w:color w:val="C45911" w:themeColor="accent2" w:themeShade="BF"/>
              </w:rPr>
              <w:t xml:space="preserve">% </w:t>
            </w:r>
            <w:r w:rsidR="00C16521" w:rsidRPr="007A7600">
              <w:rPr>
                <w:rFonts w:ascii="Arial" w:hAnsi="Arial" w:cs="Arial"/>
                <w:b/>
                <w:bCs/>
                <w:noProof/>
                <w:color w:val="C45911" w:themeColor="accent2" w:themeShade="BF"/>
              </w:rPr>
              <w:t>Increase in Social Impact from our</w:t>
            </w:r>
            <w:r w:rsidR="007A7600">
              <w:rPr>
                <w:rFonts w:ascii="Arial" w:hAnsi="Arial" w:cs="Arial"/>
                <w:b/>
                <w:bCs/>
                <w:noProof/>
                <w:color w:val="C45911" w:themeColor="accent2" w:themeShade="BF"/>
              </w:rPr>
              <w:t xml:space="preserve"> </w:t>
            </w:r>
            <w:r w:rsidR="00C16521" w:rsidRPr="007A7600">
              <w:rPr>
                <w:rFonts w:ascii="Arial" w:hAnsi="Arial" w:cs="Arial"/>
                <w:b/>
                <w:bCs/>
                <w:noProof/>
                <w:color w:val="C45911" w:themeColor="accent2" w:themeShade="BF"/>
              </w:rPr>
              <w:t>Community Investment</w:t>
            </w:r>
          </w:p>
        </w:tc>
        <w:tc>
          <w:tcPr>
            <w:tcW w:w="8715" w:type="dxa"/>
            <w:tcBorders>
              <w:bottom w:val="single" w:sz="4" w:space="0" w:color="auto"/>
            </w:tcBorders>
            <w:vAlign w:val="center"/>
          </w:tcPr>
          <w:p w14:paraId="03D43B3E" w14:textId="7CBB90A4" w:rsidR="00B9406F" w:rsidRPr="00E000FC" w:rsidRDefault="32029991" w:rsidP="00E000FC">
            <w:pPr>
              <w:rPr>
                <w:rFonts w:ascii="Arial" w:hAnsi="Arial" w:cs="Arial"/>
                <w:noProof/>
              </w:rPr>
            </w:pPr>
            <w:r w:rsidRPr="7D4D3DCD">
              <w:rPr>
                <w:rFonts w:ascii="Arial" w:hAnsi="Arial" w:cs="Arial"/>
                <w:noProof/>
              </w:rPr>
              <w:t>This target measures the increase in the number of organisations, where positive results were measured generated by our community investment, reported and assured in line with B4SI’s Community Investment Framework against a 2024/25 baseline.</w:t>
            </w:r>
          </w:p>
        </w:tc>
        <w:tc>
          <w:tcPr>
            <w:tcW w:w="1559" w:type="dxa"/>
            <w:tcBorders>
              <w:bottom w:val="single" w:sz="4" w:space="0" w:color="auto"/>
            </w:tcBorders>
            <w:vAlign w:val="center"/>
          </w:tcPr>
          <w:p w14:paraId="7FF16FFE" w14:textId="262B2D7D" w:rsidR="00B9406F" w:rsidRPr="00E000FC" w:rsidRDefault="00C73F92" w:rsidP="00E000FC">
            <w:pPr>
              <w:jc w:val="center"/>
              <w:rPr>
                <w:rFonts w:ascii="Arial" w:hAnsi="Arial" w:cs="Arial"/>
                <w:noProof/>
              </w:rPr>
            </w:pPr>
            <w:r w:rsidRPr="00E000FC">
              <w:rPr>
                <w:rFonts w:ascii="Arial" w:hAnsi="Arial" w:cs="Arial"/>
                <w:noProof/>
              </w:rPr>
              <w:t>10%</w:t>
            </w:r>
          </w:p>
        </w:tc>
      </w:tr>
      <w:bookmarkEnd w:id="2"/>
      <w:tr w:rsidR="009D5A86" w:rsidRPr="007A7600" w14:paraId="3682BB2C" w14:textId="77777777" w:rsidTr="7D4D3DCD">
        <w:trPr>
          <w:trHeight w:val="1514"/>
        </w:trPr>
        <w:tc>
          <w:tcPr>
            <w:tcW w:w="4038" w:type="dxa"/>
            <w:tcBorders>
              <w:bottom w:val="single" w:sz="4" w:space="0" w:color="auto"/>
            </w:tcBorders>
            <w:vAlign w:val="center"/>
          </w:tcPr>
          <w:p w14:paraId="1685D1DA" w14:textId="614489CE" w:rsidR="009D5A86" w:rsidRPr="007A7600" w:rsidRDefault="00375468" w:rsidP="00E000FC">
            <w:pPr>
              <w:rPr>
                <w:rFonts w:ascii="Arial" w:hAnsi="Arial" w:cs="Arial"/>
                <w:b/>
                <w:bCs/>
                <w:noProof/>
                <w:color w:val="C45911" w:themeColor="accent2" w:themeShade="BF"/>
              </w:rPr>
            </w:pPr>
            <w:r w:rsidRPr="007A7600">
              <w:rPr>
                <w:rFonts w:ascii="Arial" w:hAnsi="Arial" w:cs="Arial"/>
                <w:b/>
                <w:bCs/>
                <w:noProof/>
                <w:color w:val="C45911" w:themeColor="accent2" w:themeShade="BF"/>
              </w:rPr>
              <w:t xml:space="preserve">% </w:t>
            </w:r>
            <w:r w:rsidR="009D5A86" w:rsidRPr="007A7600">
              <w:rPr>
                <w:rFonts w:ascii="Arial" w:hAnsi="Arial" w:cs="Arial"/>
                <w:b/>
                <w:bCs/>
                <w:noProof/>
                <w:color w:val="C45911" w:themeColor="accent2" w:themeShade="BF"/>
              </w:rPr>
              <w:t xml:space="preserve">Diversity </w:t>
            </w:r>
            <w:r w:rsidR="0041048A" w:rsidRPr="007A7600">
              <w:rPr>
                <w:rFonts w:ascii="Arial" w:hAnsi="Arial" w:cs="Arial"/>
                <w:b/>
                <w:bCs/>
                <w:noProof/>
                <w:color w:val="C45911" w:themeColor="accent2" w:themeShade="BF"/>
              </w:rPr>
              <w:t>of Workforce</w:t>
            </w:r>
          </w:p>
        </w:tc>
        <w:tc>
          <w:tcPr>
            <w:tcW w:w="8715" w:type="dxa"/>
            <w:tcBorders>
              <w:bottom w:val="single" w:sz="4" w:space="0" w:color="auto"/>
            </w:tcBorders>
            <w:vAlign w:val="center"/>
          </w:tcPr>
          <w:p w14:paraId="26D06227" w14:textId="46E7B3CD" w:rsidR="009D5A86" w:rsidRPr="002E0C47" w:rsidRDefault="00B74DE6" w:rsidP="00E000FC">
            <w:pPr>
              <w:rPr>
                <w:rFonts w:ascii="Arial" w:hAnsi="Arial" w:cs="Arial"/>
                <w:noProof/>
              </w:rPr>
            </w:pPr>
            <w:r w:rsidRPr="002E0C47">
              <w:rPr>
                <w:rFonts w:ascii="Arial" w:hAnsi="Arial" w:cs="Arial"/>
                <w:noProof/>
              </w:rPr>
              <w:t xml:space="preserve">A combined </w:t>
            </w:r>
            <w:r w:rsidR="00CC5703" w:rsidRPr="002E0C47">
              <w:rPr>
                <w:rFonts w:ascii="Arial" w:hAnsi="Arial" w:cs="Arial"/>
                <w:noProof/>
              </w:rPr>
              <w:t xml:space="preserve">diversity </w:t>
            </w:r>
            <w:r w:rsidRPr="002E0C47">
              <w:rPr>
                <w:rFonts w:ascii="Arial" w:hAnsi="Arial" w:cs="Arial"/>
                <w:noProof/>
              </w:rPr>
              <w:t xml:space="preserve">measure of Female and REACH representation across our </w:t>
            </w:r>
            <w:r w:rsidR="00BC1114" w:rsidRPr="002E0C47">
              <w:rPr>
                <w:rFonts w:ascii="Arial" w:hAnsi="Arial" w:cs="Arial"/>
                <w:noProof/>
              </w:rPr>
              <w:t xml:space="preserve">total </w:t>
            </w:r>
            <w:r w:rsidRPr="002E0C47">
              <w:rPr>
                <w:rFonts w:ascii="Arial" w:hAnsi="Arial" w:cs="Arial"/>
                <w:noProof/>
              </w:rPr>
              <w:t>workforce</w:t>
            </w:r>
            <w:r w:rsidR="00890934" w:rsidRPr="002E0C47">
              <w:rPr>
                <w:rFonts w:ascii="Arial" w:hAnsi="Arial" w:cs="Arial"/>
                <w:noProof/>
              </w:rPr>
              <w:t xml:space="preserve">. </w:t>
            </w:r>
            <w:r w:rsidR="00C16521" w:rsidRPr="002E0C47">
              <w:rPr>
                <w:rFonts w:ascii="Arial" w:hAnsi="Arial" w:cs="Arial"/>
                <w:noProof/>
              </w:rPr>
              <w:t>This target consists of</w:t>
            </w:r>
            <w:r w:rsidRPr="002E0C47">
              <w:rPr>
                <w:rFonts w:ascii="Arial" w:hAnsi="Arial" w:cs="Arial"/>
                <w:noProof/>
              </w:rPr>
              <w:t xml:space="preserve"> </w:t>
            </w:r>
            <w:r w:rsidR="00890934" w:rsidRPr="002E0C47">
              <w:rPr>
                <w:rFonts w:ascii="Arial" w:hAnsi="Arial" w:cs="Arial"/>
                <w:noProof/>
              </w:rPr>
              <w:t>disseminated</w:t>
            </w:r>
            <w:r w:rsidRPr="002E0C47">
              <w:rPr>
                <w:rFonts w:ascii="Arial" w:hAnsi="Arial" w:cs="Arial"/>
                <w:noProof/>
              </w:rPr>
              <w:t xml:space="preserve"> internal targets for each business unit</w:t>
            </w:r>
            <w:r w:rsidR="00890934" w:rsidRPr="002E0C47">
              <w:rPr>
                <w:rFonts w:ascii="Arial" w:hAnsi="Arial" w:cs="Arial"/>
                <w:noProof/>
              </w:rPr>
              <w:t>,</w:t>
            </w:r>
            <w:r w:rsidRPr="002E0C47">
              <w:rPr>
                <w:rFonts w:ascii="Arial" w:hAnsi="Arial" w:cs="Arial"/>
                <w:noProof/>
              </w:rPr>
              <w:t xml:space="preserve"> to drive performance against our </w:t>
            </w:r>
            <w:r w:rsidR="00890934" w:rsidRPr="002E0C47">
              <w:rPr>
                <w:rFonts w:ascii="Arial" w:hAnsi="Arial" w:cs="Arial"/>
                <w:noProof/>
              </w:rPr>
              <w:t xml:space="preserve">overall </w:t>
            </w:r>
            <w:r w:rsidRPr="002E0C47">
              <w:rPr>
                <w:rFonts w:ascii="Arial" w:hAnsi="Arial" w:cs="Arial"/>
                <w:noProof/>
              </w:rPr>
              <w:t>group position.</w:t>
            </w:r>
            <w:r w:rsidR="00BC1114" w:rsidRPr="002E0C47">
              <w:rPr>
                <w:rFonts w:ascii="Arial" w:hAnsi="Arial" w:cs="Arial"/>
                <w:noProof/>
              </w:rPr>
              <w:t xml:space="preserve"> Individuals</w:t>
            </w:r>
            <w:r w:rsidR="00890934" w:rsidRPr="002E0C47">
              <w:rPr>
                <w:rFonts w:ascii="Arial" w:hAnsi="Arial" w:cs="Arial"/>
                <w:noProof/>
              </w:rPr>
              <w:t xml:space="preserve"> belonging to</w:t>
            </w:r>
            <w:r w:rsidR="00BC1114" w:rsidRPr="002E0C47">
              <w:rPr>
                <w:rFonts w:ascii="Arial" w:hAnsi="Arial" w:cs="Arial"/>
                <w:noProof/>
              </w:rPr>
              <w:t xml:space="preserve"> both</w:t>
            </w:r>
            <w:r w:rsidR="00B71EF8" w:rsidRPr="002E0C47">
              <w:rPr>
                <w:rFonts w:ascii="Arial" w:hAnsi="Arial" w:cs="Arial"/>
                <w:noProof/>
              </w:rPr>
              <w:t xml:space="preserve"> Female and REACH</w:t>
            </w:r>
            <w:r w:rsidR="00BC1114" w:rsidRPr="002E0C47">
              <w:rPr>
                <w:rFonts w:ascii="Arial" w:hAnsi="Arial" w:cs="Arial"/>
                <w:noProof/>
              </w:rPr>
              <w:t xml:space="preserve"> groups are only counted once in th</w:t>
            </w:r>
            <w:r w:rsidR="00C93F5D" w:rsidRPr="002E0C47">
              <w:rPr>
                <w:rFonts w:ascii="Arial" w:hAnsi="Arial" w:cs="Arial"/>
                <w:noProof/>
              </w:rPr>
              <w:t>e</w:t>
            </w:r>
            <w:r w:rsidR="00BC1114" w:rsidRPr="002E0C47">
              <w:rPr>
                <w:rFonts w:ascii="Arial" w:hAnsi="Arial" w:cs="Arial"/>
                <w:noProof/>
              </w:rPr>
              <w:t xml:space="preserve"> combined metric</w:t>
            </w:r>
            <w:r w:rsidR="00890934" w:rsidRPr="002E0C47">
              <w:rPr>
                <w:rFonts w:ascii="Arial" w:hAnsi="Arial" w:cs="Arial"/>
                <w:noProof/>
              </w:rPr>
              <w:t xml:space="preserve">, to avoid </w:t>
            </w:r>
            <w:r w:rsidR="00CC5703" w:rsidRPr="002E0C47">
              <w:rPr>
                <w:rFonts w:ascii="Arial" w:hAnsi="Arial" w:cs="Arial"/>
                <w:noProof/>
              </w:rPr>
              <w:t xml:space="preserve">any </w:t>
            </w:r>
            <w:r w:rsidR="00890934" w:rsidRPr="002E0C47">
              <w:rPr>
                <w:rFonts w:ascii="Arial" w:hAnsi="Arial" w:cs="Arial"/>
                <w:noProof/>
              </w:rPr>
              <w:t>duplicat</w:t>
            </w:r>
            <w:r w:rsidR="0079724D" w:rsidRPr="002E0C47">
              <w:rPr>
                <w:rFonts w:ascii="Arial" w:hAnsi="Arial" w:cs="Arial"/>
                <w:noProof/>
              </w:rPr>
              <w:t>e</w:t>
            </w:r>
            <w:r w:rsidR="00B71EF8" w:rsidRPr="002E0C47">
              <w:rPr>
                <w:rFonts w:ascii="Arial" w:hAnsi="Arial" w:cs="Arial"/>
                <w:noProof/>
              </w:rPr>
              <w:t>d</w:t>
            </w:r>
            <w:r w:rsidR="0079724D" w:rsidRPr="002E0C47">
              <w:rPr>
                <w:rFonts w:ascii="Arial" w:hAnsi="Arial" w:cs="Arial"/>
                <w:noProof/>
              </w:rPr>
              <w:t xml:space="preserve"> reporting.</w:t>
            </w:r>
            <w:r w:rsidR="00890934" w:rsidRPr="002E0C47">
              <w:rPr>
                <w:rFonts w:ascii="Arial" w:hAnsi="Arial" w:cs="Arial"/>
                <w:noProof/>
              </w:rPr>
              <w:t xml:space="preserve"> </w:t>
            </w:r>
          </w:p>
        </w:tc>
        <w:tc>
          <w:tcPr>
            <w:tcW w:w="1559" w:type="dxa"/>
            <w:tcBorders>
              <w:bottom w:val="single" w:sz="4" w:space="0" w:color="auto"/>
            </w:tcBorders>
            <w:vAlign w:val="center"/>
          </w:tcPr>
          <w:p w14:paraId="4ED0ACD1" w14:textId="4C137D91" w:rsidR="009D5A86" w:rsidRPr="00E000FC" w:rsidRDefault="009D5A86" w:rsidP="00E000FC">
            <w:pPr>
              <w:jc w:val="center"/>
              <w:rPr>
                <w:rFonts w:ascii="Arial" w:hAnsi="Arial" w:cs="Arial"/>
                <w:noProof/>
              </w:rPr>
            </w:pPr>
            <w:r w:rsidRPr="00E000FC">
              <w:rPr>
                <w:rFonts w:ascii="Arial" w:hAnsi="Arial" w:cs="Arial"/>
                <w:noProof/>
              </w:rPr>
              <w:t>3</w:t>
            </w:r>
            <w:r w:rsidR="00C00702" w:rsidRPr="00E000FC">
              <w:rPr>
                <w:rFonts w:ascii="Arial" w:hAnsi="Arial" w:cs="Arial"/>
                <w:noProof/>
              </w:rPr>
              <w:t>5</w:t>
            </w:r>
            <w:r w:rsidRPr="00E000FC">
              <w:rPr>
                <w:rFonts w:ascii="Arial" w:hAnsi="Arial" w:cs="Arial"/>
                <w:noProof/>
              </w:rPr>
              <w:t>%</w:t>
            </w:r>
          </w:p>
        </w:tc>
      </w:tr>
      <w:tr w:rsidR="0041048A" w:rsidRPr="007A7600" w14:paraId="05B71265" w14:textId="77777777" w:rsidTr="7D4D3DCD">
        <w:trPr>
          <w:trHeight w:val="1676"/>
        </w:trPr>
        <w:tc>
          <w:tcPr>
            <w:tcW w:w="4038" w:type="dxa"/>
            <w:tcBorders>
              <w:top w:val="single" w:sz="4" w:space="0" w:color="auto"/>
              <w:bottom w:val="single" w:sz="4" w:space="0" w:color="auto"/>
            </w:tcBorders>
            <w:vAlign w:val="center"/>
          </w:tcPr>
          <w:p w14:paraId="50535A61" w14:textId="734BFAEE" w:rsidR="0041048A" w:rsidRPr="007A7600" w:rsidRDefault="0041048A" w:rsidP="00E000FC">
            <w:pPr>
              <w:rPr>
                <w:rFonts w:ascii="Arial" w:hAnsi="Arial" w:cs="Arial"/>
                <w:b/>
                <w:bCs/>
                <w:noProof/>
                <w:color w:val="C45911" w:themeColor="accent2" w:themeShade="BF"/>
              </w:rPr>
            </w:pPr>
            <w:r w:rsidRPr="007A7600">
              <w:rPr>
                <w:rFonts w:ascii="Arial" w:hAnsi="Arial" w:cs="Arial"/>
                <w:b/>
                <w:bCs/>
                <w:noProof/>
                <w:color w:val="C45911" w:themeColor="accent2" w:themeShade="BF"/>
              </w:rPr>
              <w:t>Achieve 5% club status</w:t>
            </w:r>
          </w:p>
        </w:tc>
        <w:tc>
          <w:tcPr>
            <w:tcW w:w="8715" w:type="dxa"/>
            <w:tcBorders>
              <w:top w:val="single" w:sz="4" w:space="0" w:color="auto"/>
              <w:bottom w:val="single" w:sz="4" w:space="0" w:color="auto"/>
            </w:tcBorders>
            <w:vAlign w:val="center"/>
          </w:tcPr>
          <w:p w14:paraId="28BF1B73" w14:textId="6B8605A2" w:rsidR="0041048A" w:rsidRPr="002E0C47" w:rsidRDefault="00CC5703" w:rsidP="00E000FC">
            <w:pPr>
              <w:contextualSpacing/>
              <w:rPr>
                <w:rFonts w:ascii="Arial" w:hAnsi="Arial" w:cs="Arial"/>
                <w:noProof/>
                <w:color w:val="425563"/>
              </w:rPr>
            </w:pPr>
            <w:r w:rsidRPr="002E0C47">
              <w:rPr>
                <w:rFonts w:ascii="Arial" w:hAnsi="Arial" w:cs="Arial"/>
                <w:noProof/>
              </w:rPr>
              <w:t>A target to achieve</w:t>
            </w:r>
            <w:r w:rsidR="0041048A" w:rsidRPr="002E0C47">
              <w:rPr>
                <w:rFonts w:ascii="Arial" w:hAnsi="Arial" w:cs="Arial"/>
                <w:noProof/>
              </w:rPr>
              <w:t xml:space="preserve"> </w:t>
            </w:r>
            <w:r w:rsidR="00317FB0" w:rsidRPr="002E0C47">
              <w:rPr>
                <w:rFonts w:ascii="Arial" w:hAnsi="Arial" w:cs="Arial"/>
                <w:noProof/>
              </w:rPr>
              <w:t xml:space="preserve">the stated </w:t>
            </w:r>
            <w:r w:rsidR="0041048A" w:rsidRPr="002E0C47">
              <w:rPr>
                <w:rFonts w:ascii="Arial" w:hAnsi="Arial" w:cs="Arial"/>
                <w:noProof/>
              </w:rPr>
              <w:t>accreditation</w:t>
            </w:r>
            <w:r w:rsidR="00317FB0" w:rsidRPr="002E0C47">
              <w:rPr>
                <w:rFonts w:ascii="Arial" w:hAnsi="Arial" w:cs="Arial"/>
                <w:noProof/>
              </w:rPr>
              <w:t xml:space="preserve"> level</w:t>
            </w:r>
            <w:r w:rsidR="0041048A" w:rsidRPr="002E0C47">
              <w:rPr>
                <w:rFonts w:ascii="Arial" w:hAnsi="Arial" w:cs="Arial"/>
                <w:noProof/>
              </w:rPr>
              <w:t xml:space="preserve"> in</w:t>
            </w:r>
            <w:r w:rsidR="00317FB0" w:rsidRPr="002E0C47">
              <w:rPr>
                <w:rFonts w:ascii="Arial" w:hAnsi="Arial" w:cs="Arial"/>
                <w:noProof/>
              </w:rPr>
              <w:t xml:space="preserve"> the</w:t>
            </w:r>
            <w:r w:rsidR="0041048A" w:rsidRPr="002E0C47">
              <w:rPr>
                <w:rFonts w:ascii="Arial" w:hAnsi="Arial" w:cs="Arial"/>
                <w:noProof/>
              </w:rPr>
              <w:t xml:space="preserve"> target year as defined by </w:t>
            </w:r>
            <w:r w:rsidR="00F66F64" w:rsidRPr="002E0C47">
              <w:rPr>
                <w:rFonts w:ascii="Arial" w:hAnsi="Arial" w:cs="Arial"/>
                <w:noProof/>
              </w:rPr>
              <w:t>5% Club (</w:t>
            </w:r>
            <w:hyperlink r:id="rId12" w:history="1">
              <w:r w:rsidR="00F66F64" w:rsidRPr="002E0C47">
                <w:rPr>
                  <w:rStyle w:val="Hyperlink"/>
                  <w:rFonts w:ascii="Arial" w:hAnsi="Arial" w:cs="Arial"/>
                  <w:noProof/>
                </w:rPr>
                <w:t>https://www.5percentclub.org.uk/</w:t>
              </w:r>
            </w:hyperlink>
            <w:r w:rsidR="00F66F64" w:rsidRPr="002E0C47">
              <w:rPr>
                <w:rFonts w:ascii="Arial" w:hAnsi="Arial" w:cs="Arial"/>
                <w:noProof/>
              </w:rPr>
              <w:t>)</w:t>
            </w:r>
            <w:r w:rsidR="00155CFB" w:rsidRPr="002E0C47">
              <w:rPr>
                <w:rFonts w:ascii="Arial" w:hAnsi="Arial" w:cs="Arial"/>
                <w:noProof/>
              </w:rPr>
              <w:t>,</w:t>
            </w:r>
            <w:r w:rsidR="00BB51E8" w:rsidRPr="002E0C47">
              <w:rPr>
                <w:rFonts w:ascii="Arial" w:hAnsi="Arial" w:cs="Arial"/>
                <w:noProof/>
              </w:rPr>
              <w:t xml:space="preserve"> </w:t>
            </w:r>
            <w:r w:rsidR="000C65AB" w:rsidRPr="002E0C47">
              <w:rPr>
                <w:rFonts w:ascii="Arial" w:hAnsi="Arial" w:cs="Arial"/>
                <w:noProof/>
              </w:rPr>
              <w:t>an</w:t>
            </w:r>
            <w:r w:rsidR="0041048A" w:rsidRPr="002E0C47">
              <w:rPr>
                <w:rFonts w:ascii="Arial" w:hAnsi="Arial" w:cs="Arial"/>
                <w:noProof/>
              </w:rPr>
              <w:t xml:space="preserve"> </w:t>
            </w:r>
            <w:r w:rsidR="00155CFB" w:rsidRPr="002E0C47">
              <w:rPr>
                <w:rFonts w:ascii="Arial" w:hAnsi="Arial" w:cs="Arial"/>
                <w:noProof/>
              </w:rPr>
              <w:t xml:space="preserve">independent </w:t>
            </w:r>
            <w:r w:rsidR="0041048A" w:rsidRPr="002E0C47">
              <w:rPr>
                <w:rFonts w:ascii="Arial" w:hAnsi="Arial" w:cs="Arial"/>
                <w:noProof/>
              </w:rPr>
              <w:t xml:space="preserve">organisation that </w:t>
            </w:r>
            <w:r w:rsidRPr="002E0C47">
              <w:rPr>
                <w:rFonts w:ascii="Arial" w:hAnsi="Arial" w:cs="Arial"/>
                <w:noProof/>
              </w:rPr>
              <w:t>certifies</w:t>
            </w:r>
            <w:r w:rsidR="0041048A" w:rsidRPr="002E0C47">
              <w:rPr>
                <w:rFonts w:ascii="Arial" w:hAnsi="Arial" w:cs="Arial"/>
                <w:noProof/>
              </w:rPr>
              <w:t xml:space="preserve"> employers </w:t>
            </w:r>
            <w:r w:rsidR="00263FF3" w:rsidRPr="002E0C47">
              <w:rPr>
                <w:rFonts w:ascii="Arial" w:hAnsi="Arial" w:cs="Arial"/>
                <w:noProof/>
              </w:rPr>
              <w:t>who</w:t>
            </w:r>
            <w:r w:rsidR="0041048A" w:rsidRPr="002E0C47">
              <w:rPr>
                <w:rFonts w:ascii="Arial" w:hAnsi="Arial" w:cs="Arial"/>
                <w:noProof/>
              </w:rPr>
              <w:t xml:space="preserve"> have at least 5% of</w:t>
            </w:r>
            <w:r w:rsidR="00263FF3" w:rsidRPr="002E0C47">
              <w:rPr>
                <w:rFonts w:ascii="Arial" w:hAnsi="Arial" w:cs="Arial"/>
                <w:noProof/>
              </w:rPr>
              <w:t xml:space="preserve"> total employees</w:t>
            </w:r>
            <w:r w:rsidR="0041048A" w:rsidRPr="002E0C47">
              <w:rPr>
                <w:rFonts w:ascii="Arial" w:hAnsi="Arial" w:cs="Arial"/>
                <w:noProof/>
              </w:rPr>
              <w:t xml:space="preserve"> </w:t>
            </w:r>
            <w:r w:rsidR="00FE049F" w:rsidRPr="002E0C47">
              <w:rPr>
                <w:rFonts w:ascii="Arial" w:hAnsi="Arial" w:cs="Arial"/>
                <w:noProof/>
              </w:rPr>
              <w:t>in structured earn &amp; learn positions, such as graduate or apprenticeship programmes.</w:t>
            </w:r>
            <w:r w:rsidR="00263FF3" w:rsidRPr="002E0C47">
              <w:rPr>
                <w:rFonts w:ascii="Arial" w:hAnsi="Arial" w:cs="Arial"/>
                <w:noProof/>
              </w:rPr>
              <w:t xml:space="preserve"> Platinum accreditation is awarded to companies going above this, exceeding 10% of total employees in structured earn &amp; learn positions.</w:t>
            </w:r>
          </w:p>
        </w:tc>
        <w:tc>
          <w:tcPr>
            <w:tcW w:w="1559" w:type="dxa"/>
            <w:tcBorders>
              <w:top w:val="single" w:sz="4" w:space="0" w:color="auto"/>
              <w:bottom w:val="single" w:sz="4" w:space="0" w:color="auto"/>
            </w:tcBorders>
            <w:vAlign w:val="center"/>
          </w:tcPr>
          <w:p w14:paraId="5232E63A" w14:textId="36E6D597" w:rsidR="0041048A" w:rsidRPr="00E000FC" w:rsidRDefault="00317FB0" w:rsidP="00E000FC">
            <w:pPr>
              <w:jc w:val="center"/>
              <w:rPr>
                <w:rFonts w:ascii="Arial" w:hAnsi="Arial" w:cs="Arial"/>
                <w:noProof/>
              </w:rPr>
            </w:pPr>
            <w:r w:rsidRPr="00E000FC">
              <w:rPr>
                <w:rFonts w:ascii="Arial" w:hAnsi="Arial" w:cs="Arial"/>
                <w:noProof/>
              </w:rPr>
              <w:t>Platinum</w:t>
            </w:r>
            <w:r w:rsidR="0041048A" w:rsidRPr="00E000FC">
              <w:rPr>
                <w:rFonts w:ascii="Arial" w:hAnsi="Arial" w:cs="Arial"/>
                <w:noProof/>
              </w:rPr>
              <w:t xml:space="preserve"> accreditation</w:t>
            </w:r>
          </w:p>
        </w:tc>
      </w:tr>
      <w:tr w:rsidR="009D5A86" w:rsidRPr="007A7600" w14:paraId="47F17990" w14:textId="77777777" w:rsidTr="7D4D3DCD">
        <w:trPr>
          <w:trHeight w:val="1826"/>
        </w:trPr>
        <w:tc>
          <w:tcPr>
            <w:tcW w:w="4038" w:type="dxa"/>
            <w:tcBorders>
              <w:top w:val="single" w:sz="4" w:space="0" w:color="auto"/>
              <w:bottom w:val="single" w:sz="4" w:space="0" w:color="auto"/>
            </w:tcBorders>
            <w:vAlign w:val="center"/>
          </w:tcPr>
          <w:p w14:paraId="5B495F91" w14:textId="26B45653" w:rsidR="009D5A86" w:rsidRPr="007A7600" w:rsidRDefault="00815522" w:rsidP="00E000FC">
            <w:pPr>
              <w:rPr>
                <w:rFonts w:ascii="Arial" w:hAnsi="Arial" w:cs="Arial"/>
                <w:b/>
                <w:bCs/>
                <w:noProof/>
                <w:color w:val="C45911" w:themeColor="accent2" w:themeShade="BF"/>
              </w:rPr>
            </w:pPr>
            <w:r w:rsidRPr="007A7600">
              <w:rPr>
                <w:rFonts w:ascii="Arial" w:hAnsi="Arial" w:cs="Arial"/>
                <w:b/>
                <w:bCs/>
                <w:noProof/>
                <w:color w:val="C45911" w:themeColor="accent2" w:themeShade="BF"/>
              </w:rPr>
              <w:t>Glassdoor Score (average)</w:t>
            </w:r>
          </w:p>
        </w:tc>
        <w:tc>
          <w:tcPr>
            <w:tcW w:w="8715" w:type="dxa"/>
            <w:tcBorders>
              <w:top w:val="single" w:sz="4" w:space="0" w:color="auto"/>
              <w:bottom w:val="single" w:sz="4" w:space="0" w:color="auto"/>
            </w:tcBorders>
            <w:vAlign w:val="center"/>
          </w:tcPr>
          <w:p w14:paraId="28E42454" w14:textId="0970221F" w:rsidR="009D5A86" w:rsidRPr="002E0C47" w:rsidRDefault="003E5A0D" w:rsidP="00E000FC">
            <w:pPr>
              <w:rPr>
                <w:rStyle w:val="Hyperlink"/>
                <w:rFonts w:ascii="Arial" w:hAnsi="Arial" w:cs="Arial"/>
                <w:u w:val="none"/>
              </w:rPr>
            </w:pPr>
            <w:r w:rsidRPr="002E0C47">
              <w:rPr>
                <w:rFonts w:ascii="Arial" w:hAnsi="Arial" w:cs="Arial"/>
              </w:rPr>
              <w:t xml:space="preserve">The average rating of Pennon as an employer on the Glassdoor platform, taken as an average across each </w:t>
            </w:r>
            <w:r w:rsidR="00CE0FF9" w:rsidRPr="002E0C47">
              <w:rPr>
                <w:rFonts w:ascii="Arial" w:hAnsi="Arial" w:cs="Arial"/>
              </w:rPr>
              <w:t>entity within the group</w:t>
            </w:r>
            <w:r w:rsidRPr="002E0C47">
              <w:rPr>
                <w:rFonts w:ascii="Arial" w:hAnsi="Arial" w:cs="Arial"/>
              </w:rPr>
              <w:t xml:space="preserve">. The score reflects </w:t>
            </w:r>
            <w:r w:rsidR="00CE0FF9" w:rsidRPr="002E0C47">
              <w:rPr>
                <w:rFonts w:ascii="Arial" w:hAnsi="Arial" w:cs="Arial"/>
              </w:rPr>
              <w:t xml:space="preserve">employee </w:t>
            </w:r>
            <w:r w:rsidRPr="002E0C47">
              <w:rPr>
                <w:rFonts w:ascii="Arial" w:hAnsi="Arial" w:cs="Arial"/>
              </w:rPr>
              <w:t>perceptions of overall satisfaction, culture</w:t>
            </w:r>
            <w:r w:rsidR="00CE0FF9" w:rsidRPr="002E0C47">
              <w:rPr>
                <w:rFonts w:ascii="Arial" w:hAnsi="Arial" w:cs="Arial"/>
              </w:rPr>
              <w:t xml:space="preserve">, </w:t>
            </w:r>
            <w:r w:rsidRPr="002E0C47">
              <w:rPr>
                <w:rFonts w:ascii="Arial" w:hAnsi="Arial" w:cs="Arial"/>
              </w:rPr>
              <w:t xml:space="preserve">leadership, career opportunities, </w:t>
            </w:r>
            <w:r w:rsidR="004A7CF2" w:rsidRPr="002E0C47">
              <w:rPr>
                <w:rFonts w:ascii="Arial" w:hAnsi="Arial" w:cs="Arial"/>
              </w:rPr>
              <w:t>etc</w:t>
            </w:r>
            <w:r w:rsidRPr="002E0C47">
              <w:rPr>
                <w:rFonts w:ascii="Arial" w:hAnsi="Arial" w:cs="Arial"/>
              </w:rPr>
              <w:t>. The metric is calculated as a rolling average score</w:t>
            </w:r>
            <w:r w:rsidR="004A7CF2" w:rsidRPr="002E0C47">
              <w:rPr>
                <w:rFonts w:ascii="Arial" w:hAnsi="Arial" w:cs="Arial"/>
              </w:rPr>
              <w:t>,</w:t>
            </w:r>
            <w:r w:rsidRPr="002E0C47">
              <w:rPr>
                <w:rFonts w:ascii="Arial" w:hAnsi="Arial" w:cs="Arial"/>
              </w:rPr>
              <w:t xml:space="preserve"> out of five</w:t>
            </w:r>
            <w:r w:rsidR="004A7CF2" w:rsidRPr="002E0C47">
              <w:rPr>
                <w:rFonts w:ascii="Arial" w:hAnsi="Arial" w:cs="Arial"/>
              </w:rPr>
              <w:t>,</w:t>
            </w:r>
            <w:r w:rsidRPr="002E0C47">
              <w:rPr>
                <w:rFonts w:ascii="Arial" w:hAnsi="Arial" w:cs="Arial"/>
              </w:rPr>
              <w:t xml:space="preserve"> and is monitored to track employee engagement and experience over time.</w:t>
            </w:r>
          </w:p>
        </w:tc>
        <w:tc>
          <w:tcPr>
            <w:tcW w:w="1559" w:type="dxa"/>
            <w:tcBorders>
              <w:top w:val="single" w:sz="4" w:space="0" w:color="auto"/>
              <w:bottom w:val="single" w:sz="4" w:space="0" w:color="auto"/>
            </w:tcBorders>
            <w:vAlign w:val="center"/>
          </w:tcPr>
          <w:p w14:paraId="1AC663DB" w14:textId="2F8981E3" w:rsidR="009D5A86" w:rsidRPr="00BA19EF" w:rsidRDefault="007A7600" w:rsidP="00E000FC">
            <w:pPr>
              <w:jc w:val="center"/>
              <w:rPr>
                <w:rFonts w:ascii="Arial" w:hAnsi="Arial" w:cs="Arial"/>
                <w:noProof/>
              </w:rPr>
            </w:pPr>
            <w:r w:rsidRPr="00BA19EF">
              <w:rPr>
                <w:rFonts w:ascii="Arial" w:hAnsi="Arial" w:cs="Arial"/>
                <w:noProof/>
              </w:rPr>
              <w:t>3.8</w:t>
            </w:r>
          </w:p>
        </w:tc>
      </w:tr>
      <w:tr w:rsidR="009D5A86" w:rsidRPr="007A7600" w14:paraId="7FB8BEC1" w14:textId="77777777" w:rsidTr="7D4D3DCD">
        <w:trPr>
          <w:trHeight w:val="1979"/>
        </w:trPr>
        <w:tc>
          <w:tcPr>
            <w:tcW w:w="4038" w:type="dxa"/>
            <w:tcBorders>
              <w:bottom w:val="single" w:sz="4" w:space="0" w:color="auto"/>
            </w:tcBorders>
            <w:vAlign w:val="center"/>
          </w:tcPr>
          <w:p w14:paraId="0E40D1D6" w14:textId="77777777" w:rsidR="00815522" w:rsidRPr="007A7600" w:rsidRDefault="00815522" w:rsidP="00E000FC">
            <w:pPr>
              <w:rPr>
                <w:rFonts w:ascii="Arial" w:hAnsi="Arial" w:cs="Arial"/>
                <w:b/>
                <w:bCs/>
                <w:noProof/>
                <w:color w:val="C45911" w:themeColor="accent2" w:themeShade="BF"/>
              </w:rPr>
            </w:pPr>
            <w:r w:rsidRPr="007A7600">
              <w:rPr>
                <w:rFonts w:ascii="Arial" w:hAnsi="Arial" w:cs="Arial"/>
                <w:b/>
                <w:bCs/>
                <w:noProof/>
                <w:color w:val="C45911" w:themeColor="accent2" w:themeShade="BF"/>
              </w:rPr>
              <w:lastRenderedPageBreak/>
              <w:t xml:space="preserve">Lost Time Injury Frequency  </w:t>
            </w:r>
          </w:p>
          <w:p w14:paraId="1BA4EE8D" w14:textId="24C43193" w:rsidR="009D5A86" w:rsidRPr="007A7600" w:rsidRDefault="00815522" w:rsidP="00E000FC">
            <w:pPr>
              <w:rPr>
                <w:rFonts w:ascii="Arial" w:hAnsi="Arial" w:cs="Arial"/>
                <w:b/>
                <w:bCs/>
                <w:noProof/>
                <w:color w:val="C45911" w:themeColor="accent2" w:themeShade="BF"/>
              </w:rPr>
            </w:pPr>
            <w:r w:rsidRPr="007A7600">
              <w:rPr>
                <w:rFonts w:ascii="Arial" w:hAnsi="Arial" w:cs="Arial"/>
                <w:b/>
                <w:bCs/>
                <w:noProof/>
                <w:color w:val="C45911" w:themeColor="accent2" w:themeShade="BF"/>
              </w:rPr>
              <w:t>Rate (LTIFR)</w:t>
            </w:r>
            <w:r w:rsidR="008376D2" w:rsidRPr="007A7600">
              <w:rPr>
                <w:rFonts w:ascii="Arial" w:hAnsi="Arial" w:cs="Arial"/>
                <w:b/>
                <w:bCs/>
                <w:noProof/>
                <w:color w:val="C45911" w:themeColor="accent2" w:themeShade="BF"/>
              </w:rPr>
              <w:t xml:space="preserve"> (Number / 100k hrs)</w:t>
            </w:r>
          </w:p>
        </w:tc>
        <w:tc>
          <w:tcPr>
            <w:tcW w:w="8715" w:type="dxa"/>
            <w:tcBorders>
              <w:bottom w:val="single" w:sz="4" w:space="0" w:color="auto"/>
            </w:tcBorders>
            <w:vAlign w:val="center"/>
          </w:tcPr>
          <w:p w14:paraId="21605916" w14:textId="6CE3C3AA" w:rsidR="008F07EF" w:rsidRPr="00E000FC" w:rsidRDefault="00F50201" w:rsidP="00E000FC">
            <w:pPr>
              <w:rPr>
                <w:rFonts w:ascii="Arial" w:hAnsi="Arial" w:cs="Arial"/>
                <w:noProof/>
                <w:highlight w:val="yellow"/>
              </w:rPr>
            </w:pPr>
            <w:r w:rsidRPr="00F50201">
              <w:rPr>
                <w:rFonts w:ascii="Arial" w:hAnsi="Arial" w:cs="Arial"/>
                <w:noProof/>
              </w:rPr>
              <w:t>Lost Time Injury (LTI</w:t>
            </w:r>
            <w:r w:rsidRPr="00F50201">
              <w:rPr>
                <w:rFonts w:ascii="Arial" w:hAnsi="Arial" w:cs="Arial"/>
                <w:b/>
                <w:bCs/>
                <w:noProof/>
              </w:rPr>
              <w:t>)</w:t>
            </w:r>
            <w:r w:rsidR="009D5A86" w:rsidRPr="00F50201">
              <w:rPr>
                <w:rFonts w:ascii="Arial" w:hAnsi="Arial" w:cs="Arial"/>
                <w:noProof/>
              </w:rPr>
              <w:t xml:space="preserve"> </w:t>
            </w:r>
            <w:r w:rsidRPr="00F50201">
              <w:rPr>
                <w:rFonts w:ascii="Arial" w:hAnsi="Arial" w:cs="Arial"/>
                <w:noProof/>
              </w:rPr>
              <w:t>- an injury which results from either a specific work-related task [eg a strain or sprain as a result of carrying/lifting equipment required by the task in hand], or from a single instantaneous exposure in the work environment [eg being struck by a falling object whilst completing a specific task] and that results in a person being unfit for work on any day beyond the date of the incident. For clarity, Injuries that are caused by Road Traffic Accidents, that are a re-occurrence of a pre-existing condition or are not work-related are not included. The Lost Time Injury frequency rate (LTIFR) measures the number of lost-time injuries per 100,000 hours worked during the financial year.</w:t>
            </w:r>
          </w:p>
        </w:tc>
        <w:tc>
          <w:tcPr>
            <w:tcW w:w="1559" w:type="dxa"/>
            <w:tcBorders>
              <w:bottom w:val="single" w:sz="4" w:space="0" w:color="auto"/>
            </w:tcBorders>
            <w:vAlign w:val="center"/>
          </w:tcPr>
          <w:p w14:paraId="0E80D6AF" w14:textId="7FDE589C" w:rsidR="009D5A86" w:rsidRPr="00E000FC" w:rsidRDefault="002E18E7" w:rsidP="00E000FC">
            <w:pPr>
              <w:jc w:val="center"/>
              <w:rPr>
                <w:rFonts w:ascii="Arial" w:hAnsi="Arial" w:cs="Arial"/>
                <w:noProof/>
              </w:rPr>
            </w:pPr>
            <w:r w:rsidRPr="00E000FC">
              <w:rPr>
                <w:rFonts w:ascii="Arial" w:hAnsi="Arial" w:cs="Arial"/>
                <w:noProof/>
              </w:rPr>
              <w:t>0.13</w:t>
            </w:r>
          </w:p>
        </w:tc>
      </w:tr>
      <w:tr w:rsidR="009D5A86" w:rsidRPr="007A7600" w14:paraId="1EE1DA64" w14:textId="77777777" w:rsidTr="7D4D3DCD">
        <w:trPr>
          <w:trHeight w:val="1444"/>
        </w:trPr>
        <w:tc>
          <w:tcPr>
            <w:tcW w:w="4038" w:type="dxa"/>
            <w:tcBorders>
              <w:top w:val="single" w:sz="4" w:space="0" w:color="auto"/>
              <w:bottom w:val="single" w:sz="4" w:space="0" w:color="auto"/>
            </w:tcBorders>
            <w:vAlign w:val="center"/>
          </w:tcPr>
          <w:p w14:paraId="05A6986D" w14:textId="5DD8073F" w:rsidR="009D5A86" w:rsidRPr="007A7600" w:rsidRDefault="00EC0CFA" w:rsidP="00E000FC">
            <w:pPr>
              <w:rPr>
                <w:rFonts w:ascii="Arial" w:hAnsi="Arial" w:cs="Arial"/>
                <w:b/>
                <w:bCs/>
                <w:noProof/>
                <w:color w:val="2F5496" w:themeColor="accent1" w:themeShade="BF"/>
              </w:rPr>
            </w:pPr>
            <w:r w:rsidRPr="007A7600">
              <w:rPr>
                <w:rFonts w:ascii="Arial" w:hAnsi="Arial" w:cs="Arial"/>
                <w:b/>
                <w:bCs/>
                <w:noProof/>
                <w:color w:val="2F5496" w:themeColor="accent1" w:themeShade="BF"/>
              </w:rPr>
              <w:t>ESG Rating (Sustainalytics)</w:t>
            </w:r>
          </w:p>
        </w:tc>
        <w:tc>
          <w:tcPr>
            <w:tcW w:w="8715" w:type="dxa"/>
            <w:tcBorders>
              <w:top w:val="single" w:sz="4" w:space="0" w:color="auto"/>
              <w:bottom w:val="single" w:sz="4" w:space="0" w:color="auto"/>
            </w:tcBorders>
            <w:vAlign w:val="center"/>
          </w:tcPr>
          <w:p w14:paraId="63322F3D" w14:textId="777A52BA" w:rsidR="009D5A86" w:rsidRPr="00E000FC" w:rsidRDefault="0035363E" w:rsidP="00E000FC">
            <w:pPr>
              <w:rPr>
                <w:rFonts w:ascii="Arial" w:hAnsi="Arial" w:cs="Arial"/>
              </w:rPr>
            </w:pPr>
            <w:r w:rsidRPr="00E000FC">
              <w:rPr>
                <w:rFonts w:ascii="Arial" w:hAnsi="Arial" w:cs="Arial"/>
              </w:rPr>
              <w:t>Pennon’s ESG Risk Rating as assessed by Sustainalytics, which measures industry-specific material ESG risks and how well those risks are managed. Performance is benchmarked against global peers within the Utilities sector, with lower risk scores indicating stronger ESG risk management. The target is measured on a relative percentile basis within our peer group.</w:t>
            </w:r>
          </w:p>
        </w:tc>
        <w:tc>
          <w:tcPr>
            <w:tcW w:w="1559" w:type="dxa"/>
            <w:tcBorders>
              <w:top w:val="single" w:sz="4" w:space="0" w:color="auto"/>
              <w:bottom w:val="single" w:sz="4" w:space="0" w:color="auto"/>
            </w:tcBorders>
            <w:vAlign w:val="center"/>
          </w:tcPr>
          <w:p w14:paraId="7EB5C8B6" w14:textId="05C745EE" w:rsidR="009D5A86" w:rsidRPr="00E000FC" w:rsidRDefault="00C879CD" w:rsidP="00E000FC">
            <w:pPr>
              <w:jc w:val="center"/>
              <w:rPr>
                <w:rFonts w:ascii="Arial" w:hAnsi="Arial" w:cs="Arial"/>
                <w:noProof/>
              </w:rPr>
            </w:pPr>
            <w:r w:rsidRPr="00E000FC">
              <w:rPr>
                <w:rFonts w:ascii="Arial" w:hAnsi="Arial" w:cs="Arial"/>
                <w:noProof/>
              </w:rPr>
              <w:t>Top 10</w:t>
            </w:r>
            <w:r w:rsidRPr="00E000FC">
              <w:rPr>
                <w:rFonts w:ascii="Arial" w:hAnsi="Arial" w:cs="Arial"/>
                <w:noProof/>
                <w:vertAlign w:val="superscript"/>
              </w:rPr>
              <w:t>th</w:t>
            </w:r>
            <w:r w:rsidR="00C00702" w:rsidRPr="00E000FC">
              <w:rPr>
                <w:rFonts w:ascii="Arial" w:hAnsi="Arial" w:cs="Arial"/>
                <w:noProof/>
              </w:rPr>
              <w:t xml:space="preserve"> </w:t>
            </w:r>
            <w:r w:rsidRPr="00E000FC">
              <w:rPr>
                <w:rFonts w:ascii="Arial" w:hAnsi="Arial" w:cs="Arial"/>
                <w:noProof/>
              </w:rPr>
              <w:t>percentile</w:t>
            </w:r>
          </w:p>
        </w:tc>
      </w:tr>
      <w:tr w:rsidR="009D5A86" w:rsidRPr="007A7600" w14:paraId="40E2710A" w14:textId="77777777" w:rsidTr="7D4D3DCD">
        <w:trPr>
          <w:trHeight w:val="1165"/>
        </w:trPr>
        <w:tc>
          <w:tcPr>
            <w:tcW w:w="4038" w:type="dxa"/>
            <w:vAlign w:val="center"/>
          </w:tcPr>
          <w:p w14:paraId="0D8532F6" w14:textId="77777777" w:rsidR="00EC0CFA" w:rsidRPr="007A7600" w:rsidRDefault="00EC0CFA" w:rsidP="00E000FC">
            <w:pPr>
              <w:rPr>
                <w:rFonts w:ascii="Arial" w:hAnsi="Arial" w:cs="Arial"/>
                <w:b/>
                <w:bCs/>
                <w:noProof/>
                <w:color w:val="2F5496" w:themeColor="accent1" w:themeShade="BF"/>
              </w:rPr>
            </w:pPr>
            <w:r w:rsidRPr="007A7600">
              <w:rPr>
                <w:rFonts w:ascii="Arial" w:hAnsi="Arial" w:cs="Arial"/>
                <w:b/>
                <w:bCs/>
                <w:noProof/>
                <w:color w:val="2F5496" w:themeColor="accent1" w:themeShade="BF"/>
              </w:rPr>
              <w:t xml:space="preserve">Funding raised through Sustainable </w:t>
            </w:r>
          </w:p>
          <w:p w14:paraId="3FFC68C8" w14:textId="4A00BA9E" w:rsidR="009D5A86" w:rsidRPr="007A7600" w:rsidRDefault="00EC0CFA" w:rsidP="00E000FC">
            <w:pPr>
              <w:rPr>
                <w:rFonts w:ascii="Arial" w:hAnsi="Arial" w:cs="Arial"/>
                <w:b/>
                <w:bCs/>
                <w:noProof/>
                <w:color w:val="2F5496" w:themeColor="accent1" w:themeShade="BF"/>
              </w:rPr>
            </w:pPr>
            <w:r w:rsidRPr="007A7600">
              <w:rPr>
                <w:rFonts w:ascii="Arial" w:hAnsi="Arial" w:cs="Arial"/>
                <w:b/>
                <w:bCs/>
                <w:noProof/>
                <w:color w:val="2F5496" w:themeColor="accent1" w:themeShade="BF"/>
              </w:rPr>
              <w:t>Financing Framework</w:t>
            </w:r>
          </w:p>
        </w:tc>
        <w:tc>
          <w:tcPr>
            <w:tcW w:w="8715" w:type="dxa"/>
            <w:vAlign w:val="center"/>
          </w:tcPr>
          <w:p w14:paraId="7F9F7089" w14:textId="289B6DD7" w:rsidR="009D5A86" w:rsidRPr="00E000FC" w:rsidRDefault="002E0C47" w:rsidP="00E000FC">
            <w:pPr>
              <w:rPr>
                <w:rFonts w:ascii="Arial" w:hAnsi="Arial" w:cs="Arial"/>
                <w:noProof/>
              </w:rPr>
            </w:pPr>
            <w:r w:rsidRPr="002E0C47">
              <w:rPr>
                <w:rFonts w:ascii="Arial" w:hAnsi="Arial" w:cs="Arial"/>
                <w:noProof/>
              </w:rPr>
              <w:t>Any finances raised attributed to Gross debt (excluding any former leases accounted as operating leases) raised under the Sustainable Financing Framework and a proportion of the total finance raised in the Target year as reported in the Annual Report and Financial Statements.</w:t>
            </w:r>
          </w:p>
        </w:tc>
        <w:tc>
          <w:tcPr>
            <w:tcW w:w="1559" w:type="dxa"/>
            <w:vAlign w:val="center"/>
          </w:tcPr>
          <w:p w14:paraId="6EFB7C74" w14:textId="17F8D612" w:rsidR="009D5A86" w:rsidRPr="00E000FC" w:rsidRDefault="00C00702" w:rsidP="00E000FC">
            <w:pPr>
              <w:jc w:val="center"/>
              <w:rPr>
                <w:rFonts w:ascii="Arial" w:hAnsi="Arial" w:cs="Arial"/>
                <w:noProof/>
              </w:rPr>
            </w:pPr>
            <w:r w:rsidRPr="00E000FC">
              <w:rPr>
                <w:rFonts w:ascii="Arial" w:hAnsi="Arial" w:cs="Arial"/>
                <w:noProof/>
              </w:rPr>
              <w:t>£2bn</w:t>
            </w:r>
          </w:p>
        </w:tc>
      </w:tr>
      <w:tr w:rsidR="009D5A86" w:rsidRPr="007A7600" w14:paraId="0918A53A" w14:textId="77777777" w:rsidTr="7D4D3DCD">
        <w:trPr>
          <w:trHeight w:val="1562"/>
        </w:trPr>
        <w:tc>
          <w:tcPr>
            <w:tcW w:w="4038" w:type="dxa"/>
            <w:vAlign w:val="center"/>
          </w:tcPr>
          <w:p w14:paraId="151E6AB9" w14:textId="77777777" w:rsidR="00EC0CFA" w:rsidRPr="007A7600" w:rsidRDefault="00EC0CFA" w:rsidP="00E000FC">
            <w:pPr>
              <w:rPr>
                <w:rFonts w:ascii="Arial" w:hAnsi="Arial" w:cs="Arial"/>
                <w:b/>
                <w:bCs/>
                <w:noProof/>
                <w:color w:val="2F5496" w:themeColor="accent1" w:themeShade="BF"/>
              </w:rPr>
            </w:pPr>
            <w:r w:rsidRPr="007A7600">
              <w:rPr>
                <w:rFonts w:ascii="Arial" w:hAnsi="Arial" w:cs="Arial"/>
                <w:b/>
                <w:bCs/>
                <w:noProof/>
                <w:color w:val="2F5496" w:themeColor="accent1" w:themeShade="BF"/>
              </w:rPr>
              <w:t xml:space="preserve">ESG Criteria included in % of  </w:t>
            </w:r>
          </w:p>
          <w:p w14:paraId="00A5EBE8" w14:textId="4AF0EA69" w:rsidR="009D5A86" w:rsidRPr="007A7600" w:rsidRDefault="00EC0CFA" w:rsidP="00E000FC">
            <w:pPr>
              <w:rPr>
                <w:rFonts w:ascii="Arial" w:hAnsi="Arial" w:cs="Arial"/>
                <w:b/>
                <w:bCs/>
                <w:noProof/>
                <w:color w:val="2F5496" w:themeColor="accent1" w:themeShade="BF"/>
              </w:rPr>
            </w:pPr>
            <w:r w:rsidRPr="007A7600">
              <w:rPr>
                <w:rFonts w:ascii="Arial" w:hAnsi="Arial" w:cs="Arial"/>
                <w:b/>
                <w:bCs/>
                <w:noProof/>
                <w:color w:val="2F5496" w:themeColor="accent1" w:themeShade="BF"/>
              </w:rPr>
              <w:t>Tender Evaluations</w:t>
            </w:r>
          </w:p>
        </w:tc>
        <w:tc>
          <w:tcPr>
            <w:tcW w:w="8715" w:type="dxa"/>
            <w:vAlign w:val="center"/>
          </w:tcPr>
          <w:p w14:paraId="44D70803" w14:textId="55421813" w:rsidR="009D5A86" w:rsidRPr="00E000FC" w:rsidRDefault="00CC1736" w:rsidP="00E000FC">
            <w:pPr>
              <w:rPr>
                <w:rFonts w:ascii="Arial" w:hAnsi="Arial" w:cs="Arial"/>
                <w:noProof/>
                <w:highlight w:val="yellow"/>
              </w:rPr>
            </w:pPr>
            <w:r w:rsidRPr="002E0C47">
              <w:rPr>
                <w:rFonts w:ascii="Arial" w:hAnsi="Arial" w:cs="Arial"/>
                <w:noProof/>
              </w:rPr>
              <w:t xml:space="preserve">The proportion of supplier tenders where defined ESG criteria are formally embedded within the tender evaluation and scoring process. ESG criteria may include, but are not limited to, </w:t>
            </w:r>
            <w:r w:rsidR="003C3E7B" w:rsidRPr="002E0C47">
              <w:rPr>
                <w:rFonts w:ascii="Arial" w:hAnsi="Arial" w:cs="Arial"/>
                <w:noProof/>
              </w:rPr>
              <w:t>c</w:t>
            </w:r>
            <w:r w:rsidRPr="002E0C47">
              <w:rPr>
                <w:rFonts w:ascii="Arial" w:hAnsi="Arial" w:cs="Arial"/>
                <w:noProof/>
              </w:rPr>
              <w:t>arbon reduction initiatives, social value,</w:t>
            </w:r>
            <w:r w:rsidR="003C3E7B" w:rsidRPr="002E0C47">
              <w:rPr>
                <w:rFonts w:ascii="Arial" w:hAnsi="Arial" w:cs="Arial"/>
                <w:noProof/>
              </w:rPr>
              <w:t xml:space="preserve"> or a companies’</w:t>
            </w:r>
            <w:r w:rsidRPr="002E0C47">
              <w:rPr>
                <w:rFonts w:ascii="Arial" w:hAnsi="Arial" w:cs="Arial"/>
                <w:noProof/>
              </w:rPr>
              <w:t xml:space="preserve"> </w:t>
            </w:r>
            <w:r w:rsidR="003C3E7B" w:rsidRPr="002E0C47">
              <w:rPr>
                <w:rFonts w:ascii="Arial" w:hAnsi="Arial" w:cs="Arial"/>
                <w:noProof/>
              </w:rPr>
              <w:t>own supply</w:t>
            </w:r>
            <w:r w:rsidRPr="002E0C47">
              <w:rPr>
                <w:rFonts w:ascii="Arial" w:hAnsi="Arial" w:cs="Arial"/>
                <w:noProof/>
              </w:rPr>
              <w:t xml:space="preserve"> chain sustainability. The metric is calculated as the percentage of total tenders that include ESG criteria as part of the evaluation framework.</w:t>
            </w:r>
          </w:p>
        </w:tc>
        <w:tc>
          <w:tcPr>
            <w:tcW w:w="1559" w:type="dxa"/>
            <w:vAlign w:val="center"/>
          </w:tcPr>
          <w:p w14:paraId="0601AB63" w14:textId="79B93162" w:rsidR="009D5A86" w:rsidRPr="00E000FC" w:rsidRDefault="00C00702" w:rsidP="00E000FC">
            <w:pPr>
              <w:jc w:val="center"/>
              <w:rPr>
                <w:rFonts w:ascii="Arial" w:hAnsi="Arial" w:cs="Arial"/>
                <w:noProof/>
              </w:rPr>
            </w:pPr>
            <w:r w:rsidRPr="00E000FC">
              <w:rPr>
                <w:rFonts w:ascii="Arial" w:hAnsi="Arial" w:cs="Arial"/>
                <w:sz w:val="20"/>
                <w:szCs w:val="20"/>
              </w:rPr>
              <w:t>100</w:t>
            </w:r>
            <w:r w:rsidR="00C879CD" w:rsidRPr="00E000FC">
              <w:rPr>
                <w:rFonts w:ascii="Arial" w:hAnsi="Arial" w:cs="Arial"/>
                <w:sz w:val="20"/>
                <w:szCs w:val="20"/>
              </w:rPr>
              <w:t>%</w:t>
            </w:r>
          </w:p>
        </w:tc>
      </w:tr>
      <w:tr w:rsidR="009D5A86" w:rsidRPr="007A7600" w14:paraId="1622C44E" w14:textId="77777777" w:rsidTr="7D4D3DCD">
        <w:trPr>
          <w:trHeight w:val="1283"/>
        </w:trPr>
        <w:tc>
          <w:tcPr>
            <w:tcW w:w="4038" w:type="dxa"/>
            <w:vAlign w:val="center"/>
          </w:tcPr>
          <w:p w14:paraId="11874548" w14:textId="6F404C86" w:rsidR="009D5A86" w:rsidRPr="007A7600" w:rsidRDefault="00EC0CFA" w:rsidP="00E000FC">
            <w:pPr>
              <w:rPr>
                <w:rFonts w:ascii="Arial" w:hAnsi="Arial" w:cs="Arial"/>
                <w:b/>
                <w:bCs/>
                <w:noProof/>
                <w:color w:val="2F5496" w:themeColor="accent1" w:themeShade="BF"/>
              </w:rPr>
            </w:pPr>
            <w:r w:rsidRPr="007A7600">
              <w:rPr>
                <w:rFonts w:ascii="Arial" w:hAnsi="Arial" w:cs="Arial"/>
                <w:b/>
                <w:bCs/>
                <w:noProof/>
                <w:color w:val="2F5496" w:themeColor="accent1" w:themeShade="BF"/>
              </w:rPr>
              <w:t>Supply Chain Sustainability School Membership Grade</w:t>
            </w:r>
          </w:p>
        </w:tc>
        <w:tc>
          <w:tcPr>
            <w:tcW w:w="8715" w:type="dxa"/>
            <w:vAlign w:val="center"/>
          </w:tcPr>
          <w:p w14:paraId="0B3A844C" w14:textId="77777777" w:rsidR="009D5A86" w:rsidRPr="00E000FC" w:rsidRDefault="0055213D" w:rsidP="00E000FC">
            <w:pPr>
              <w:rPr>
                <w:rFonts w:ascii="Arial" w:hAnsi="Arial" w:cs="Arial"/>
                <w:noProof/>
              </w:rPr>
            </w:pPr>
            <w:r w:rsidRPr="00E000FC">
              <w:rPr>
                <w:rFonts w:ascii="Arial" w:hAnsi="Arial" w:cs="Arial"/>
                <w:noProof/>
              </w:rPr>
              <w:t xml:space="preserve">The membership level achieved by Pennon with the Supply Chain Sustainability School, an independent platform used for engagement, learning and collaboration on sustainability across the supply chain. Membership grades reflect engagement with </w:t>
            </w:r>
            <w:r w:rsidR="00E000FC" w:rsidRPr="00E000FC">
              <w:rPr>
                <w:rFonts w:ascii="Arial" w:hAnsi="Arial" w:cs="Arial"/>
                <w:noProof/>
              </w:rPr>
              <w:t>the platforms resources, working group, training sessions, and self-assessment tools.</w:t>
            </w:r>
          </w:p>
        </w:tc>
        <w:tc>
          <w:tcPr>
            <w:tcW w:w="1559" w:type="dxa"/>
            <w:vAlign w:val="center"/>
          </w:tcPr>
          <w:p w14:paraId="744F0293" w14:textId="0ACDA05B" w:rsidR="009D5A86" w:rsidRPr="00E000FC" w:rsidRDefault="00C00702" w:rsidP="00E000FC">
            <w:pPr>
              <w:jc w:val="center"/>
              <w:rPr>
                <w:rFonts w:ascii="Arial" w:hAnsi="Arial" w:cs="Arial"/>
                <w:noProof/>
              </w:rPr>
            </w:pPr>
            <w:r w:rsidRPr="00E000FC">
              <w:rPr>
                <w:rFonts w:ascii="Arial" w:hAnsi="Arial" w:cs="Arial"/>
                <w:noProof/>
              </w:rPr>
              <w:t>Gold</w:t>
            </w:r>
          </w:p>
        </w:tc>
      </w:tr>
      <w:bookmarkEnd w:id="0"/>
    </w:tbl>
    <w:p w14:paraId="287C76FD" w14:textId="2987A190" w:rsidR="66F87C21" w:rsidRDefault="66F87C21" w:rsidP="66F87C21">
      <w:pPr>
        <w:rPr>
          <w:rFonts w:ascii="Arial" w:hAnsi="Arial" w:cs="Arial"/>
          <w:b/>
          <w:bCs/>
          <w:sz w:val="28"/>
          <w:szCs w:val="28"/>
        </w:rPr>
      </w:pPr>
    </w:p>
    <w:p w14:paraId="37A7E8D7" w14:textId="164635E8" w:rsidR="00457866" w:rsidRDefault="004E4FE6" w:rsidP="00DA028C">
      <w:pPr>
        <w:rPr>
          <w:rFonts w:ascii="Arial" w:hAnsi="Arial" w:cs="Arial"/>
          <w:b/>
          <w:bCs/>
          <w:sz w:val="28"/>
          <w:szCs w:val="28"/>
        </w:rPr>
      </w:pPr>
      <w:r w:rsidRPr="007A7600">
        <w:rPr>
          <w:rFonts w:ascii="Arial" w:hAnsi="Arial" w:cs="Arial"/>
          <w:b/>
          <w:bCs/>
          <w:sz w:val="28"/>
          <w:szCs w:val="28"/>
        </w:rPr>
        <w:lastRenderedPageBreak/>
        <w:t xml:space="preserve">Group 2030 ESG </w:t>
      </w:r>
      <w:r w:rsidR="00457866">
        <w:rPr>
          <w:rFonts w:ascii="Arial" w:hAnsi="Arial" w:cs="Arial"/>
          <w:b/>
          <w:bCs/>
          <w:sz w:val="28"/>
          <w:szCs w:val="28"/>
        </w:rPr>
        <w:t>T</w:t>
      </w:r>
      <w:r w:rsidRPr="007A7600">
        <w:rPr>
          <w:rFonts w:ascii="Arial" w:hAnsi="Arial" w:cs="Arial"/>
          <w:b/>
          <w:bCs/>
          <w:sz w:val="28"/>
          <w:szCs w:val="28"/>
        </w:rPr>
        <w:t>argets –</w:t>
      </w:r>
      <w:r w:rsidR="007A7600" w:rsidRPr="007A7600">
        <w:rPr>
          <w:rFonts w:ascii="Arial" w:hAnsi="Arial" w:cs="Arial"/>
          <w:b/>
          <w:bCs/>
          <w:sz w:val="28"/>
          <w:szCs w:val="28"/>
        </w:rPr>
        <w:t xml:space="preserve"> </w:t>
      </w:r>
      <w:r w:rsidR="00457866">
        <w:rPr>
          <w:rFonts w:ascii="Arial" w:hAnsi="Arial" w:cs="Arial"/>
          <w:b/>
          <w:bCs/>
          <w:sz w:val="28"/>
          <w:szCs w:val="28"/>
        </w:rPr>
        <w:t>I</w:t>
      </w:r>
      <w:r w:rsidRPr="007A7600">
        <w:rPr>
          <w:rFonts w:ascii="Arial" w:hAnsi="Arial" w:cs="Arial"/>
          <w:b/>
          <w:bCs/>
          <w:sz w:val="28"/>
          <w:szCs w:val="28"/>
        </w:rPr>
        <w:t xml:space="preserve">nterim </w:t>
      </w:r>
      <w:r w:rsidR="00457866">
        <w:rPr>
          <w:rFonts w:ascii="Arial" w:hAnsi="Arial" w:cs="Arial"/>
          <w:b/>
          <w:bCs/>
          <w:sz w:val="28"/>
          <w:szCs w:val="28"/>
        </w:rPr>
        <w:t>T</w:t>
      </w:r>
      <w:r w:rsidRPr="007A7600">
        <w:rPr>
          <w:rFonts w:ascii="Arial" w:hAnsi="Arial" w:cs="Arial"/>
          <w:b/>
          <w:bCs/>
          <w:sz w:val="28"/>
          <w:szCs w:val="28"/>
        </w:rPr>
        <w:t>argets</w:t>
      </w:r>
    </w:p>
    <w:tbl>
      <w:tblPr>
        <w:tblStyle w:val="TableGrid"/>
        <w:tblW w:w="14215" w:type="dxa"/>
        <w:tblLayout w:type="fixed"/>
        <w:tblLook w:val="04A0" w:firstRow="1" w:lastRow="0" w:firstColumn="1" w:lastColumn="0" w:noHBand="0" w:noVBand="1"/>
      </w:tblPr>
      <w:tblGrid>
        <w:gridCol w:w="6470"/>
        <w:gridCol w:w="1549"/>
        <w:gridCol w:w="1549"/>
        <w:gridCol w:w="1549"/>
        <w:gridCol w:w="1549"/>
        <w:gridCol w:w="1549"/>
      </w:tblGrid>
      <w:tr w:rsidR="005A2917" w:rsidRPr="007A7600" w14:paraId="00D7BAC4" w14:textId="6A5FDAA2" w:rsidTr="7D4D3DCD">
        <w:trPr>
          <w:trHeight w:val="518"/>
          <w:tblHeader/>
        </w:trPr>
        <w:tc>
          <w:tcPr>
            <w:tcW w:w="6470" w:type="dxa"/>
            <w:tcBorders>
              <w:bottom w:val="single" w:sz="4" w:space="0" w:color="auto"/>
            </w:tcBorders>
            <w:shd w:val="clear" w:color="auto" w:fill="BDD6EE" w:themeFill="accent5" w:themeFillTint="66"/>
            <w:vAlign w:val="center"/>
          </w:tcPr>
          <w:p w14:paraId="5660138D" w14:textId="77777777" w:rsidR="005A2917" w:rsidRPr="00E000FC" w:rsidRDefault="005A2917" w:rsidP="00E621A0">
            <w:pPr>
              <w:rPr>
                <w:rFonts w:ascii="Arial" w:hAnsi="Arial" w:cs="Arial"/>
                <w:b/>
                <w:bCs/>
                <w:noProof/>
              </w:rPr>
            </w:pPr>
            <w:r w:rsidRPr="00E000FC">
              <w:rPr>
                <w:rFonts w:ascii="Arial" w:hAnsi="Arial" w:cs="Arial"/>
                <w:b/>
                <w:bCs/>
                <w:noProof/>
              </w:rPr>
              <w:t>Material Issue and Metric</w:t>
            </w:r>
          </w:p>
        </w:tc>
        <w:tc>
          <w:tcPr>
            <w:tcW w:w="1549" w:type="dxa"/>
            <w:tcBorders>
              <w:bottom w:val="single" w:sz="4" w:space="0" w:color="auto"/>
            </w:tcBorders>
            <w:shd w:val="clear" w:color="auto" w:fill="BDD6EE" w:themeFill="accent5" w:themeFillTint="66"/>
            <w:vAlign w:val="center"/>
          </w:tcPr>
          <w:p w14:paraId="3EDAFDEF" w14:textId="5292FA7B" w:rsidR="005A2917" w:rsidRPr="00E000FC" w:rsidRDefault="00E621A0" w:rsidP="00E621A0">
            <w:pPr>
              <w:jc w:val="center"/>
              <w:rPr>
                <w:rFonts w:ascii="Arial" w:hAnsi="Arial" w:cs="Arial"/>
                <w:b/>
                <w:bCs/>
                <w:noProof/>
              </w:rPr>
            </w:pPr>
            <w:r w:rsidRPr="00E000FC">
              <w:rPr>
                <w:rFonts w:ascii="Arial" w:hAnsi="Arial" w:cs="Arial"/>
                <w:b/>
                <w:bCs/>
                <w:noProof/>
              </w:rPr>
              <w:t>2026</w:t>
            </w:r>
          </w:p>
        </w:tc>
        <w:tc>
          <w:tcPr>
            <w:tcW w:w="1549" w:type="dxa"/>
            <w:tcBorders>
              <w:bottom w:val="single" w:sz="4" w:space="0" w:color="auto"/>
            </w:tcBorders>
            <w:shd w:val="clear" w:color="auto" w:fill="BDD6EE" w:themeFill="accent5" w:themeFillTint="66"/>
            <w:vAlign w:val="center"/>
          </w:tcPr>
          <w:p w14:paraId="724CA15F" w14:textId="4B637899" w:rsidR="005A2917" w:rsidRPr="00E000FC" w:rsidRDefault="00E621A0" w:rsidP="00E621A0">
            <w:pPr>
              <w:jc w:val="center"/>
              <w:rPr>
                <w:rFonts w:ascii="Arial" w:hAnsi="Arial" w:cs="Arial"/>
                <w:b/>
                <w:bCs/>
                <w:noProof/>
              </w:rPr>
            </w:pPr>
            <w:r w:rsidRPr="00E000FC">
              <w:rPr>
                <w:rFonts w:ascii="Arial" w:hAnsi="Arial" w:cs="Arial"/>
                <w:b/>
                <w:bCs/>
                <w:noProof/>
              </w:rPr>
              <w:t>2027</w:t>
            </w:r>
          </w:p>
        </w:tc>
        <w:tc>
          <w:tcPr>
            <w:tcW w:w="1549" w:type="dxa"/>
            <w:tcBorders>
              <w:bottom w:val="single" w:sz="4" w:space="0" w:color="auto"/>
            </w:tcBorders>
            <w:shd w:val="clear" w:color="auto" w:fill="BDD6EE" w:themeFill="accent5" w:themeFillTint="66"/>
            <w:vAlign w:val="center"/>
          </w:tcPr>
          <w:p w14:paraId="5B83C78F" w14:textId="75E7B4E5" w:rsidR="005A2917" w:rsidRPr="00E000FC" w:rsidRDefault="00E621A0" w:rsidP="00E621A0">
            <w:pPr>
              <w:jc w:val="center"/>
              <w:rPr>
                <w:rFonts w:ascii="Arial" w:hAnsi="Arial" w:cs="Arial"/>
                <w:b/>
                <w:bCs/>
                <w:noProof/>
              </w:rPr>
            </w:pPr>
            <w:r w:rsidRPr="00E000FC">
              <w:rPr>
                <w:rFonts w:ascii="Arial" w:hAnsi="Arial" w:cs="Arial"/>
                <w:b/>
                <w:bCs/>
                <w:noProof/>
              </w:rPr>
              <w:t>2028</w:t>
            </w:r>
          </w:p>
        </w:tc>
        <w:tc>
          <w:tcPr>
            <w:tcW w:w="1549" w:type="dxa"/>
            <w:tcBorders>
              <w:bottom w:val="single" w:sz="4" w:space="0" w:color="auto"/>
            </w:tcBorders>
            <w:shd w:val="clear" w:color="auto" w:fill="BDD6EE" w:themeFill="accent5" w:themeFillTint="66"/>
            <w:vAlign w:val="center"/>
          </w:tcPr>
          <w:p w14:paraId="698B9422" w14:textId="183515A3" w:rsidR="005A2917" w:rsidRPr="00E000FC" w:rsidRDefault="00E621A0" w:rsidP="00E621A0">
            <w:pPr>
              <w:jc w:val="center"/>
              <w:rPr>
                <w:rFonts w:ascii="Arial" w:hAnsi="Arial" w:cs="Arial"/>
                <w:b/>
                <w:bCs/>
                <w:noProof/>
              </w:rPr>
            </w:pPr>
            <w:r w:rsidRPr="00E000FC">
              <w:rPr>
                <w:rFonts w:ascii="Arial" w:hAnsi="Arial" w:cs="Arial"/>
                <w:b/>
                <w:bCs/>
                <w:noProof/>
              </w:rPr>
              <w:t>2029</w:t>
            </w:r>
          </w:p>
        </w:tc>
        <w:tc>
          <w:tcPr>
            <w:tcW w:w="1549" w:type="dxa"/>
            <w:tcBorders>
              <w:bottom w:val="single" w:sz="4" w:space="0" w:color="auto"/>
            </w:tcBorders>
            <w:shd w:val="clear" w:color="auto" w:fill="BDD6EE" w:themeFill="accent5" w:themeFillTint="66"/>
            <w:vAlign w:val="center"/>
          </w:tcPr>
          <w:p w14:paraId="5D5916A0" w14:textId="0D4ADECC" w:rsidR="005A2917" w:rsidRPr="00E000FC" w:rsidRDefault="005A2917" w:rsidP="00E621A0">
            <w:pPr>
              <w:jc w:val="center"/>
              <w:rPr>
                <w:rFonts w:ascii="Arial" w:hAnsi="Arial" w:cs="Arial"/>
                <w:b/>
                <w:bCs/>
                <w:noProof/>
              </w:rPr>
            </w:pPr>
            <w:r w:rsidRPr="00E000FC">
              <w:rPr>
                <w:rFonts w:ascii="Arial" w:hAnsi="Arial" w:cs="Arial"/>
                <w:b/>
                <w:bCs/>
                <w:noProof/>
              </w:rPr>
              <w:t>2030</w:t>
            </w:r>
          </w:p>
        </w:tc>
      </w:tr>
      <w:tr w:rsidR="0077324D" w:rsidRPr="007A7600" w14:paraId="385E51A1" w14:textId="777042B7" w:rsidTr="7D4D3DCD">
        <w:trPr>
          <w:trHeight w:val="518"/>
        </w:trPr>
        <w:tc>
          <w:tcPr>
            <w:tcW w:w="6470" w:type="dxa"/>
            <w:tcBorders>
              <w:top w:val="single" w:sz="4" w:space="0" w:color="auto"/>
              <w:left w:val="single" w:sz="4" w:space="0" w:color="auto"/>
              <w:bottom w:val="single" w:sz="4" w:space="0" w:color="auto"/>
              <w:right w:val="single" w:sz="4" w:space="0" w:color="auto"/>
            </w:tcBorders>
            <w:vAlign w:val="center"/>
          </w:tcPr>
          <w:p w14:paraId="6F24B16A" w14:textId="07B987FF" w:rsidR="0077324D" w:rsidRPr="007A7600" w:rsidRDefault="7C07134D" w:rsidP="0077324D">
            <w:pPr>
              <w:rPr>
                <w:rFonts w:ascii="Arial" w:hAnsi="Arial" w:cs="Arial"/>
                <w:b/>
                <w:bCs/>
                <w:noProof/>
                <w:color w:val="538135" w:themeColor="accent6" w:themeShade="BF"/>
              </w:rPr>
            </w:pPr>
            <w:r w:rsidRPr="7D4D3DCD">
              <w:rPr>
                <w:rFonts w:ascii="Arial" w:hAnsi="Arial" w:cs="Arial"/>
                <w:b/>
                <w:bCs/>
                <w:noProof/>
                <w:color w:val="538135" w:themeColor="accent6" w:themeShade="BF"/>
              </w:rPr>
              <w:t>Renewable Electricity Self-Generated</w:t>
            </w:r>
            <w:r w:rsidR="35472446" w:rsidRPr="7D4D3DCD">
              <w:rPr>
                <w:rFonts w:ascii="Arial" w:hAnsi="Arial" w:cs="Arial"/>
                <w:b/>
                <w:bCs/>
                <w:noProof/>
                <w:color w:val="538135" w:themeColor="accent6" w:themeShade="BF"/>
              </w:rPr>
              <w:t xml:space="preserve"> (GWh/year)</w:t>
            </w:r>
          </w:p>
        </w:tc>
        <w:tc>
          <w:tcPr>
            <w:tcW w:w="1549" w:type="dxa"/>
            <w:tcBorders>
              <w:top w:val="single" w:sz="4" w:space="0" w:color="auto"/>
              <w:left w:val="single" w:sz="4" w:space="0" w:color="auto"/>
              <w:bottom w:val="single" w:sz="4" w:space="0" w:color="auto"/>
              <w:right w:val="single" w:sz="4" w:space="0" w:color="auto"/>
            </w:tcBorders>
            <w:vAlign w:val="center"/>
          </w:tcPr>
          <w:p w14:paraId="6DB722E5" w14:textId="3892D87B" w:rsidR="0077324D" w:rsidRPr="004046E9" w:rsidRDefault="32E4E58C" w:rsidP="7D4D3DCD">
            <w:pPr>
              <w:jc w:val="center"/>
              <w:rPr>
                <w:rFonts w:ascii="Arial" w:hAnsi="Arial" w:cs="Arial"/>
                <w:noProof/>
                <w:sz w:val="20"/>
                <w:szCs w:val="20"/>
              </w:rPr>
            </w:pPr>
            <w:r w:rsidRPr="7D4D3DCD">
              <w:rPr>
                <w:rFonts w:ascii="Arial" w:hAnsi="Arial" w:cs="Arial"/>
                <w:sz w:val="20"/>
                <w:szCs w:val="20"/>
              </w:rPr>
              <w:t>50</w:t>
            </w:r>
          </w:p>
        </w:tc>
        <w:tc>
          <w:tcPr>
            <w:tcW w:w="1549" w:type="dxa"/>
            <w:tcBorders>
              <w:top w:val="single" w:sz="4" w:space="0" w:color="auto"/>
              <w:left w:val="single" w:sz="4" w:space="0" w:color="auto"/>
              <w:bottom w:val="single" w:sz="4" w:space="0" w:color="auto"/>
              <w:right w:val="single" w:sz="4" w:space="0" w:color="auto"/>
            </w:tcBorders>
            <w:vAlign w:val="center"/>
          </w:tcPr>
          <w:p w14:paraId="25C2AC72" w14:textId="045FF33F" w:rsidR="0077324D" w:rsidRPr="004046E9" w:rsidRDefault="32E4E58C" w:rsidP="7D4D3DCD">
            <w:pPr>
              <w:jc w:val="center"/>
              <w:rPr>
                <w:rFonts w:ascii="Arial" w:hAnsi="Arial" w:cs="Arial"/>
                <w:noProof/>
                <w:sz w:val="20"/>
                <w:szCs w:val="20"/>
              </w:rPr>
            </w:pPr>
            <w:r w:rsidRPr="7D4D3DCD">
              <w:rPr>
                <w:rFonts w:ascii="Arial" w:hAnsi="Arial" w:cs="Arial"/>
                <w:sz w:val="20"/>
                <w:szCs w:val="20"/>
              </w:rPr>
              <w:t>75</w:t>
            </w:r>
          </w:p>
        </w:tc>
        <w:tc>
          <w:tcPr>
            <w:tcW w:w="1549" w:type="dxa"/>
            <w:tcBorders>
              <w:top w:val="single" w:sz="4" w:space="0" w:color="auto"/>
              <w:left w:val="single" w:sz="4" w:space="0" w:color="auto"/>
              <w:bottom w:val="single" w:sz="4" w:space="0" w:color="auto"/>
              <w:right w:val="single" w:sz="4" w:space="0" w:color="auto"/>
            </w:tcBorders>
            <w:vAlign w:val="center"/>
          </w:tcPr>
          <w:p w14:paraId="18E59068" w14:textId="2173080D" w:rsidR="0077324D" w:rsidRPr="004046E9" w:rsidRDefault="32E4E58C" w:rsidP="7D4D3DCD">
            <w:pPr>
              <w:jc w:val="center"/>
              <w:rPr>
                <w:rFonts w:ascii="Arial" w:hAnsi="Arial" w:cs="Arial"/>
                <w:noProof/>
                <w:sz w:val="20"/>
                <w:szCs w:val="20"/>
              </w:rPr>
            </w:pPr>
            <w:r w:rsidRPr="7D4D3DCD">
              <w:rPr>
                <w:rFonts w:ascii="Arial" w:hAnsi="Arial" w:cs="Arial"/>
                <w:sz w:val="20"/>
                <w:szCs w:val="20"/>
              </w:rPr>
              <w:t>100</w:t>
            </w:r>
          </w:p>
        </w:tc>
        <w:tc>
          <w:tcPr>
            <w:tcW w:w="1549" w:type="dxa"/>
            <w:tcBorders>
              <w:top w:val="single" w:sz="4" w:space="0" w:color="auto"/>
              <w:left w:val="single" w:sz="4" w:space="0" w:color="auto"/>
              <w:bottom w:val="single" w:sz="4" w:space="0" w:color="auto"/>
              <w:right w:val="single" w:sz="4" w:space="0" w:color="auto"/>
            </w:tcBorders>
            <w:vAlign w:val="center"/>
          </w:tcPr>
          <w:p w14:paraId="39E1A612" w14:textId="72B309F4" w:rsidR="0077324D" w:rsidRPr="004046E9" w:rsidRDefault="32E4E58C" w:rsidP="7D4D3DCD">
            <w:pPr>
              <w:jc w:val="center"/>
              <w:rPr>
                <w:rFonts w:ascii="Arial" w:hAnsi="Arial" w:cs="Arial"/>
                <w:noProof/>
                <w:sz w:val="20"/>
                <w:szCs w:val="20"/>
              </w:rPr>
            </w:pPr>
            <w:r w:rsidRPr="7D4D3DCD">
              <w:rPr>
                <w:rFonts w:ascii="Arial" w:hAnsi="Arial" w:cs="Arial"/>
                <w:sz w:val="20"/>
                <w:szCs w:val="20"/>
              </w:rPr>
              <w:t>125</w:t>
            </w:r>
          </w:p>
        </w:tc>
        <w:tc>
          <w:tcPr>
            <w:tcW w:w="154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B257956" w14:textId="31F90EE9" w:rsidR="0077324D" w:rsidRPr="004046E9" w:rsidRDefault="0878490F" w:rsidP="7D4D3DCD">
            <w:pPr>
              <w:jc w:val="center"/>
            </w:pPr>
            <w:r w:rsidRPr="7D4D3DCD">
              <w:rPr>
                <w:rFonts w:ascii="Arial" w:hAnsi="Arial" w:cs="Arial"/>
                <w:noProof/>
                <w:sz w:val="20"/>
                <w:szCs w:val="20"/>
              </w:rPr>
              <w:t>155</w:t>
            </w:r>
          </w:p>
        </w:tc>
      </w:tr>
      <w:tr w:rsidR="00254D77" w:rsidRPr="007A7600" w14:paraId="12199A2E" w14:textId="437EE736" w:rsidTr="7D4D3DCD">
        <w:trPr>
          <w:trHeight w:val="518"/>
        </w:trPr>
        <w:tc>
          <w:tcPr>
            <w:tcW w:w="6470" w:type="dxa"/>
            <w:tcBorders>
              <w:top w:val="single" w:sz="4" w:space="0" w:color="auto"/>
              <w:left w:val="single" w:sz="4" w:space="0" w:color="auto"/>
              <w:bottom w:val="single" w:sz="4" w:space="0" w:color="auto"/>
              <w:right w:val="single" w:sz="4" w:space="0" w:color="auto"/>
            </w:tcBorders>
            <w:vAlign w:val="center"/>
          </w:tcPr>
          <w:p w14:paraId="156E5A84" w14:textId="77777777" w:rsidR="00254D77" w:rsidRPr="007A7600" w:rsidRDefault="00254D77" w:rsidP="00254D77">
            <w:pPr>
              <w:rPr>
                <w:rFonts w:ascii="Arial" w:hAnsi="Arial" w:cs="Arial"/>
                <w:b/>
                <w:bCs/>
                <w:noProof/>
                <w:color w:val="538135" w:themeColor="accent6" w:themeShade="BF"/>
              </w:rPr>
            </w:pPr>
            <w:r w:rsidRPr="007A7600">
              <w:rPr>
                <w:rFonts w:ascii="Arial" w:hAnsi="Arial" w:cs="Arial"/>
                <w:b/>
                <w:bCs/>
                <w:noProof/>
                <w:color w:val="538135" w:themeColor="accent6" w:themeShade="BF"/>
              </w:rPr>
              <w:t>% Reduction in GHG Emissions – Scope 1 and 2 market-based (SBT verified)</w:t>
            </w:r>
          </w:p>
        </w:tc>
        <w:tc>
          <w:tcPr>
            <w:tcW w:w="1549" w:type="dxa"/>
            <w:tcBorders>
              <w:top w:val="single" w:sz="4" w:space="0" w:color="auto"/>
              <w:left w:val="single" w:sz="4" w:space="0" w:color="auto"/>
              <w:bottom w:val="single" w:sz="4" w:space="0" w:color="auto"/>
              <w:right w:val="single" w:sz="4" w:space="0" w:color="auto"/>
            </w:tcBorders>
            <w:vAlign w:val="center"/>
          </w:tcPr>
          <w:p w14:paraId="3E6FF686" w14:textId="08571F1F" w:rsidR="00254D77" w:rsidRPr="004046E9" w:rsidRDefault="4B605C0D" w:rsidP="004046E9">
            <w:pPr>
              <w:jc w:val="center"/>
              <w:rPr>
                <w:rFonts w:ascii="Arial" w:hAnsi="Arial" w:cs="Arial"/>
                <w:noProof/>
                <w:sz w:val="20"/>
                <w:szCs w:val="20"/>
              </w:rPr>
            </w:pPr>
            <w:r w:rsidRPr="7D4D3DCD">
              <w:rPr>
                <w:rFonts w:ascii="Arial" w:hAnsi="Arial" w:cs="Arial"/>
                <w:sz w:val="20"/>
                <w:szCs w:val="20"/>
              </w:rPr>
              <w:t>4</w:t>
            </w:r>
            <w:r w:rsidR="695B2F10" w:rsidRPr="7D4D3DCD">
              <w:rPr>
                <w:rFonts w:ascii="Arial" w:hAnsi="Arial" w:cs="Arial"/>
                <w:sz w:val="20"/>
                <w:szCs w:val="20"/>
              </w:rPr>
              <w:t>0</w:t>
            </w:r>
            <w:r w:rsidRPr="7D4D3DCD">
              <w:rPr>
                <w:rFonts w:ascii="Arial" w:hAnsi="Arial" w:cs="Arial"/>
                <w:sz w:val="20"/>
                <w:szCs w:val="20"/>
              </w:rPr>
              <w:t>%</w:t>
            </w:r>
          </w:p>
        </w:tc>
        <w:tc>
          <w:tcPr>
            <w:tcW w:w="1549" w:type="dxa"/>
            <w:tcBorders>
              <w:top w:val="single" w:sz="4" w:space="0" w:color="auto"/>
              <w:left w:val="single" w:sz="4" w:space="0" w:color="auto"/>
              <w:bottom w:val="single" w:sz="4" w:space="0" w:color="auto"/>
              <w:right w:val="single" w:sz="4" w:space="0" w:color="auto"/>
            </w:tcBorders>
            <w:vAlign w:val="center"/>
          </w:tcPr>
          <w:p w14:paraId="68514D91" w14:textId="6B899184" w:rsidR="00254D77" w:rsidRPr="004046E9" w:rsidRDefault="4387EE5A" w:rsidP="7D4D3DCD">
            <w:pPr>
              <w:jc w:val="center"/>
              <w:rPr>
                <w:rFonts w:ascii="Arial" w:hAnsi="Arial" w:cs="Arial"/>
                <w:noProof/>
                <w:sz w:val="20"/>
                <w:szCs w:val="20"/>
              </w:rPr>
            </w:pPr>
            <w:r w:rsidRPr="7D4D3DCD">
              <w:rPr>
                <w:rFonts w:ascii="Arial" w:hAnsi="Arial" w:cs="Arial"/>
                <w:sz w:val="20"/>
                <w:szCs w:val="20"/>
              </w:rPr>
              <w:t>44</w:t>
            </w:r>
            <w:r w:rsidR="4B605C0D" w:rsidRPr="7D4D3DCD">
              <w:rPr>
                <w:rFonts w:ascii="Arial" w:hAnsi="Arial" w:cs="Arial"/>
                <w:sz w:val="20"/>
                <w:szCs w:val="20"/>
              </w:rPr>
              <w:t>%</w:t>
            </w:r>
          </w:p>
        </w:tc>
        <w:tc>
          <w:tcPr>
            <w:tcW w:w="1549" w:type="dxa"/>
            <w:tcBorders>
              <w:top w:val="single" w:sz="4" w:space="0" w:color="auto"/>
              <w:left w:val="single" w:sz="4" w:space="0" w:color="auto"/>
              <w:bottom w:val="single" w:sz="4" w:space="0" w:color="auto"/>
              <w:right w:val="single" w:sz="4" w:space="0" w:color="auto"/>
            </w:tcBorders>
            <w:vAlign w:val="center"/>
          </w:tcPr>
          <w:p w14:paraId="0CDBD7AF" w14:textId="448342A9" w:rsidR="00254D77" w:rsidRPr="004046E9" w:rsidRDefault="5882E690" w:rsidP="004046E9">
            <w:pPr>
              <w:jc w:val="center"/>
              <w:rPr>
                <w:rFonts w:ascii="Arial" w:hAnsi="Arial" w:cs="Arial"/>
                <w:noProof/>
                <w:sz w:val="20"/>
                <w:szCs w:val="20"/>
              </w:rPr>
            </w:pPr>
            <w:r w:rsidRPr="7D4D3DCD">
              <w:rPr>
                <w:rFonts w:ascii="Arial" w:hAnsi="Arial" w:cs="Arial"/>
                <w:sz w:val="20"/>
                <w:szCs w:val="20"/>
              </w:rPr>
              <w:t>48</w:t>
            </w:r>
            <w:r w:rsidR="4B605C0D" w:rsidRPr="7D4D3DCD">
              <w:rPr>
                <w:rFonts w:ascii="Arial" w:hAnsi="Arial" w:cs="Arial"/>
                <w:sz w:val="20"/>
                <w:szCs w:val="20"/>
              </w:rPr>
              <w:t>%</w:t>
            </w:r>
          </w:p>
        </w:tc>
        <w:tc>
          <w:tcPr>
            <w:tcW w:w="1549" w:type="dxa"/>
            <w:tcBorders>
              <w:top w:val="single" w:sz="4" w:space="0" w:color="auto"/>
              <w:left w:val="single" w:sz="4" w:space="0" w:color="auto"/>
              <w:bottom w:val="single" w:sz="4" w:space="0" w:color="auto"/>
              <w:right w:val="single" w:sz="4" w:space="0" w:color="auto"/>
            </w:tcBorders>
            <w:vAlign w:val="center"/>
          </w:tcPr>
          <w:p w14:paraId="68EE001B" w14:textId="101B5DF9" w:rsidR="00254D77" w:rsidRPr="004046E9" w:rsidRDefault="291E9EB0" w:rsidP="004046E9">
            <w:pPr>
              <w:jc w:val="center"/>
              <w:rPr>
                <w:rFonts w:ascii="Arial" w:hAnsi="Arial" w:cs="Arial"/>
                <w:noProof/>
                <w:sz w:val="20"/>
                <w:szCs w:val="20"/>
              </w:rPr>
            </w:pPr>
            <w:r w:rsidRPr="7D4D3DCD">
              <w:rPr>
                <w:rFonts w:ascii="Arial" w:hAnsi="Arial" w:cs="Arial"/>
                <w:sz w:val="20"/>
                <w:szCs w:val="20"/>
              </w:rPr>
              <w:t>52</w:t>
            </w:r>
            <w:r w:rsidR="4B605C0D" w:rsidRPr="7D4D3DCD">
              <w:rPr>
                <w:rFonts w:ascii="Arial" w:hAnsi="Arial" w:cs="Arial"/>
                <w:sz w:val="20"/>
                <w:szCs w:val="20"/>
              </w:rPr>
              <w:t>%</w:t>
            </w:r>
          </w:p>
        </w:tc>
        <w:tc>
          <w:tcPr>
            <w:tcW w:w="154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49688E" w14:textId="36541E64" w:rsidR="00254D77" w:rsidRPr="004046E9" w:rsidRDefault="3E42E6A2" w:rsidP="004046E9">
            <w:pPr>
              <w:jc w:val="center"/>
              <w:rPr>
                <w:rFonts w:ascii="Arial" w:hAnsi="Arial" w:cs="Arial"/>
                <w:noProof/>
                <w:sz w:val="20"/>
                <w:szCs w:val="20"/>
              </w:rPr>
            </w:pPr>
            <w:r w:rsidRPr="7D4D3DCD">
              <w:rPr>
                <w:rFonts w:ascii="Arial" w:hAnsi="Arial" w:cs="Arial"/>
                <w:noProof/>
                <w:sz w:val="20"/>
                <w:szCs w:val="20"/>
              </w:rPr>
              <w:t>54</w:t>
            </w:r>
            <w:r w:rsidR="4B605C0D" w:rsidRPr="7D4D3DCD">
              <w:rPr>
                <w:rFonts w:ascii="Arial" w:hAnsi="Arial" w:cs="Arial"/>
                <w:noProof/>
                <w:sz w:val="20"/>
                <w:szCs w:val="20"/>
              </w:rPr>
              <w:t>%</w:t>
            </w:r>
          </w:p>
        </w:tc>
      </w:tr>
      <w:tr w:rsidR="004F7F97" w:rsidRPr="007A7600" w14:paraId="61D4E090" w14:textId="19972EF0" w:rsidTr="7D4D3DCD">
        <w:trPr>
          <w:trHeight w:val="518"/>
        </w:trPr>
        <w:tc>
          <w:tcPr>
            <w:tcW w:w="6470" w:type="dxa"/>
            <w:tcBorders>
              <w:top w:val="single" w:sz="4" w:space="0" w:color="auto"/>
              <w:left w:val="single" w:sz="4" w:space="0" w:color="auto"/>
              <w:bottom w:val="single" w:sz="4" w:space="0" w:color="auto"/>
              <w:right w:val="single" w:sz="4" w:space="0" w:color="auto"/>
            </w:tcBorders>
            <w:vAlign w:val="center"/>
          </w:tcPr>
          <w:p w14:paraId="7B3C9CC4" w14:textId="6DECE048" w:rsidR="004F7F97" w:rsidRPr="007A7600" w:rsidRDefault="004F7F97" w:rsidP="004F7F97">
            <w:pPr>
              <w:rPr>
                <w:rFonts w:ascii="Arial" w:hAnsi="Arial" w:cs="Arial"/>
                <w:b/>
                <w:bCs/>
                <w:noProof/>
                <w:color w:val="538135" w:themeColor="accent6" w:themeShade="BF"/>
              </w:rPr>
            </w:pPr>
            <w:r w:rsidRPr="007A7600">
              <w:rPr>
                <w:rFonts w:ascii="Arial" w:hAnsi="Arial" w:cs="Arial"/>
                <w:b/>
                <w:bCs/>
                <w:noProof/>
                <w:color w:val="538135" w:themeColor="accent6" w:themeShade="BF"/>
              </w:rPr>
              <w:t>Tree Planting (cumulative)</w:t>
            </w:r>
            <w:r w:rsidR="007D4DED">
              <w:rPr>
                <w:rFonts w:ascii="Arial" w:hAnsi="Arial" w:cs="Arial"/>
                <w:b/>
                <w:bCs/>
                <w:noProof/>
                <w:color w:val="538135" w:themeColor="accent6" w:themeShade="BF"/>
              </w:rPr>
              <w:t xml:space="preserve"> – # of trees</w:t>
            </w:r>
          </w:p>
        </w:tc>
        <w:tc>
          <w:tcPr>
            <w:tcW w:w="1549" w:type="dxa"/>
            <w:tcBorders>
              <w:top w:val="single" w:sz="4" w:space="0" w:color="auto"/>
              <w:left w:val="single" w:sz="4" w:space="0" w:color="auto"/>
              <w:bottom w:val="single" w:sz="4" w:space="0" w:color="auto"/>
              <w:right w:val="single" w:sz="4" w:space="0" w:color="auto"/>
            </w:tcBorders>
            <w:vAlign w:val="center"/>
          </w:tcPr>
          <w:p w14:paraId="5F570509" w14:textId="62762F2C" w:rsidR="004F7F97" w:rsidRPr="004046E9" w:rsidRDefault="004F7F97" w:rsidP="004046E9">
            <w:pPr>
              <w:jc w:val="center"/>
              <w:rPr>
                <w:rFonts w:ascii="Arial" w:hAnsi="Arial" w:cs="Arial"/>
                <w:noProof/>
                <w:sz w:val="20"/>
                <w:szCs w:val="20"/>
              </w:rPr>
            </w:pPr>
            <w:r w:rsidRPr="004046E9">
              <w:rPr>
                <w:rFonts w:ascii="Arial" w:hAnsi="Arial" w:cs="Arial"/>
                <w:sz w:val="20"/>
                <w:szCs w:val="20"/>
              </w:rPr>
              <w:t>400,000</w:t>
            </w:r>
          </w:p>
        </w:tc>
        <w:tc>
          <w:tcPr>
            <w:tcW w:w="1549" w:type="dxa"/>
            <w:tcBorders>
              <w:top w:val="single" w:sz="4" w:space="0" w:color="auto"/>
              <w:left w:val="single" w:sz="4" w:space="0" w:color="auto"/>
              <w:bottom w:val="single" w:sz="4" w:space="0" w:color="auto"/>
              <w:right w:val="single" w:sz="4" w:space="0" w:color="auto"/>
            </w:tcBorders>
            <w:vAlign w:val="center"/>
          </w:tcPr>
          <w:p w14:paraId="28691199" w14:textId="6AFC8EB6" w:rsidR="004F7F97" w:rsidRPr="004046E9" w:rsidRDefault="004F7F97" w:rsidP="004046E9">
            <w:pPr>
              <w:jc w:val="center"/>
              <w:rPr>
                <w:rFonts w:ascii="Arial" w:hAnsi="Arial" w:cs="Arial"/>
                <w:noProof/>
                <w:sz w:val="20"/>
                <w:szCs w:val="20"/>
              </w:rPr>
            </w:pPr>
            <w:r w:rsidRPr="004046E9">
              <w:rPr>
                <w:rFonts w:ascii="Arial" w:hAnsi="Arial" w:cs="Arial"/>
                <w:sz w:val="20"/>
                <w:szCs w:val="20"/>
              </w:rPr>
              <w:t>425,000</w:t>
            </w:r>
          </w:p>
        </w:tc>
        <w:tc>
          <w:tcPr>
            <w:tcW w:w="1549" w:type="dxa"/>
            <w:tcBorders>
              <w:top w:val="single" w:sz="4" w:space="0" w:color="auto"/>
              <w:left w:val="single" w:sz="4" w:space="0" w:color="auto"/>
              <w:bottom w:val="single" w:sz="4" w:space="0" w:color="auto"/>
              <w:right w:val="single" w:sz="4" w:space="0" w:color="auto"/>
            </w:tcBorders>
            <w:vAlign w:val="center"/>
          </w:tcPr>
          <w:p w14:paraId="116CEF33" w14:textId="75FBD340" w:rsidR="004F7F97" w:rsidRPr="004046E9" w:rsidRDefault="004F7F97" w:rsidP="004046E9">
            <w:pPr>
              <w:jc w:val="center"/>
              <w:rPr>
                <w:rFonts w:ascii="Arial" w:hAnsi="Arial" w:cs="Arial"/>
                <w:noProof/>
                <w:sz w:val="20"/>
                <w:szCs w:val="20"/>
              </w:rPr>
            </w:pPr>
            <w:r w:rsidRPr="004046E9">
              <w:rPr>
                <w:rFonts w:ascii="Arial" w:hAnsi="Arial" w:cs="Arial"/>
                <w:sz w:val="20"/>
                <w:szCs w:val="20"/>
              </w:rPr>
              <w:t>450,000</w:t>
            </w:r>
          </w:p>
        </w:tc>
        <w:tc>
          <w:tcPr>
            <w:tcW w:w="1549" w:type="dxa"/>
            <w:tcBorders>
              <w:top w:val="single" w:sz="4" w:space="0" w:color="auto"/>
              <w:left w:val="single" w:sz="4" w:space="0" w:color="auto"/>
              <w:bottom w:val="single" w:sz="4" w:space="0" w:color="auto"/>
              <w:right w:val="single" w:sz="4" w:space="0" w:color="auto"/>
            </w:tcBorders>
            <w:vAlign w:val="center"/>
          </w:tcPr>
          <w:p w14:paraId="1B2140F6" w14:textId="58E43742" w:rsidR="004F7F97" w:rsidRPr="004046E9" w:rsidRDefault="004F7F97" w:rsidP="004046E9">
            <w:pPr>
              <w:jc w:val="center"/>
              <w:rPr>
                <w:rFonts w:ascii="Arial" w:hAnsi="Arial" w:cs="Arial"/>
                <w:noProof/>
                <w:sz w:val="20"/>
                <w:szCs w:val="20"/>
              </w:rPr>
            </w:pPr>
            <w:r w:rsidRPr="004046E9">
              <w:rPr>
                <w:rFonts w:ascii="Arial" w:hAnsi="Arial" w:cs="Arial"/>
                <w:sz w:val="20"/>
                <w:szCs w:val="20"/>
              </w:rPr>
              <w:t>475,000</w:t>
            </w:r>
          </w:p>
        </w:tc>
        <w:tc>
          <w:tcPr>
            <w:tcW w:w="154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C08A7AB" w14:textId="11509535" w:rsidR="004F7F97" w:rsidRPr="004046E9" w:rsidRDefault="004F7F97" w:rsidP="004046E9">
            <w:pPr>
              <w:jc w:val="center"/>
              <w:rPr>
                <w:rFonts w:ascii="Arial" w:hAnsi="Arial" w:cs="Arial"/>
                <w:noProof/>
                <w:sz w:val="20"/>
                <w:szCs w:val="20"/>
              </w:rPr>
            </w:pPr>
            <w:r w:rsidRPr="004046E9">
              <w:rPr>
                <w:rFonts w:ascii="Arial" w:hAnsi="Arial" w:cs="Arial"/>
                <w:noProof/>
                <w:sz w:val="20"/>
                <w:szCs w:val="20"/>
              </w:rPr>
              <w:t>500,000</w:t>
            </w:r>
          </w:p>
        </w:tc>
      </w:tr>
      <w:tr w:rsidR="00201E7A" w:rsidRPr="007A7600" w14:paraId="34885E16" w14:textId="2CC388EA" w:rsidTr="7D4D3DCD">
        <w:trPr>
          <w:trHeight w:val="518"/>
        </w:trPr>
        <w:tc>
          <w:tcPr>
            <w:tcW w:w="6470" w:type="dxa"/>
            <w:tcBorders>
              <w:top w:val="single" w:sz="4" w:space="0" w:color="auto"/>
              <w:left w:val="single" w:sz="4" w:space="0" w:color="auto"/>
              <w:bottom w:val="single" w:sz="4" w:space="0" w:color="auto"/>
              <w:right w:val="single" w:sz="4" w:space="0" w:color="auto"/>
            </w:tcBorders>
            <w:vAlign w:val="center"/>
          </w:tcPr>
          <w:p w14:paraId="3EB7E72E" w14:textId="7ADB7BFC" w:rsidR="00201E7A" w:rsidRPr="007A7600" w:rsidRDefault="00201E7A" w:rsidP="00201E7A">
            <w:pPr>
              <w:rPr>
                <w:rFonts w:ascii="Arial" w:hAnsi="Arial" w:cs="Arial"/>
                <w:b/>
                <w:bCs/>
                <w:noProof/>
                <w:color w:val="538135" w:themeColor="accent6" w:themeShade="BF"/>
              </w:rPr>
            </w:pPr>
            <w:r w:rsidRPr="007A7600">
              <w:rPr>
                <w:rFonts w:ascii="Arial" w:hAnsi="Arial" w:cs="Arial"/>
                <w:b/>
                <w:bCs/>
                <w:noProof/>
                <w:color w:val="538135" w:themeColor="accent6" w:themeShade="BF"/>
              </w:rPr>
              <w:t>Peatland Restoration (cumulative)</w:t>
            </w:r>
            <w:r w:rsidR="007D4DED">
              <w:rPr>
                <w:rFonts w:ascii="Arial" w:hAnsi="Arial" w:cs="Arial"/>
                <w:b/>
                <w:bCs/>
                <w:noProof/>
                <w:color w:val="538135" w:themeColor="accent6" w:themeShade="BF"/>
              </w:rPr>
              <w:t xml:space="preserve"> – </w:t>
            </w:r>
            <w:r w:rsidR="007D4DED" w:rsidRPr="007D4DED">
              <w:rPr>
                <w:rFonts w:ascii="Arial" w:hAnsi="Arial" w:cs="Arial"/>
                <w:b/>
                <w:bCs/>
                <w:noProof/>
                <w:color w:val="538135" w:themeColor="accent6" w:themeShade="BF"/>
              </w:rPr>
              <w:t>Ha</w:t>
            </w:r>
            <w:r w:rsidR="007D4DED">
              <w:rPr>
                <w:rFonts w:ascii="Arial" w:hAnsi="Arial" w:cs="Arial"/>
                <w:b/>
                <w:bCs/>
                <w:noProof/>
                <w:color w:val="538135" w:themeColor="accent6" w:themeShade="BF"/>
              </w:rPr>
              <w:t xml:space="preserve"> restored</w:t>
            </w:r>
          </w:p>
        </w:tc>
        <w:tc>
          <w:tcPr>
            <w:tcW w:w="1549" w:type="dxa"/>
            <w:tcBorders>
              <w:top w:val="single" w:sz="4" w:space="0" w:color="auto"/>
              <w:left w:val="single" w:sz="4" w:space="0" w:color="auto"/>
              <w:bottom w:val="single" w:sz="4" w:space="0" w:color="auto"/>
              <w:right w:val="single" w:sz="4" w:space="0" w:color="auto"/>
            </w:tcBorders>
            <w:vAlign w:val="center"/>
          </w:tcPr>
          <w:p w14:paraId="302C94A5" w14:textId="1E2A5271" w:rsidR="00201E7A" w:rsidRPr="004046E9" w:rsidRDefault="009C07ED" w:rsidP="004046E9">
            <w:pPr>
              <w:jc w:val="center"/>
              <w:rPr>
                <w:rFonts w:ascii="Arial" w:hAnsi="Arial" w:cs="Arial"/>
                <w:noProof/>
                <w:sz w:val="20"/>
                <w:szCs w:val="20"/>
              </w:rPr>
            </w:pPr>
            <w:r w:rsidRPr="004046E9">
              <w:rPr>
                <w:rFonts w:ascii="Arial" w:hAnsi="Arial" w:cs="Arial"/>
                <w:noProof/>
                <w:sz w:val="20"/>
                <w:szCs w:val="20"/>
              </w:rPr>
              <w:t>5054</w:t>
            </w:r>
          </w:p>
        </w:tc>
        <w:tc>
          <w:tcPr>
            <w:tcW w:w="1549" w:type="dxa"/>
            <w:tcBorders>
              <w:top w:val="single" w:sz="4" w:space="0" w:color="auto"/>
              <w:left w:val="single" w:sz="4" w:space="0" w:color="auto"/>
              <w:bottom w:val="single" w:sz="4" w:space="0" w:color="auto"/>
              <w:right w:val="single" w:sz="4" w:space="0" w:color="auto"/>
            </w:tcBorders>
            <w:vAlign w:val="center"/>
          </w:tcPr>
          <w:p w14:paraId="394F5BFA" w14:textId="4511BA17" w:rsidR="00201E7A" w:rsidRPr="004046E9" w:rsidRDefault="009C07ED" w:rsidP="004046E9">
            <w:pPr>
              <w:jc w:val="center"/>
              <w:rPr>
                <w:rFonts w:ascii="Arial" w:hAnsi="Arial" w:cs="Arial"/>
                <w:noProof/>
                <w:sz w:val="20"/>
                <w:szCs w:val="20"/>
              </w:rPr>
            </w:pPr>
            <w:r w:rsidRPr="004046E9">
              <w:rPr>
                <w:rFonts w:ascii="Arial" w:hAnsi="Arial" w:cs="Arial"/>
                <w:noProof/>
                <w:sz w:val="20"/>
                <w:szCs w:val="20"/>
              </w:rPr>
              <w:t>5154</w:t>
            </w:r>
          </w:p>
        </w:tc>
        <w:tc>
          <w:tcPr>
            <w:tcW w:w="1549" w:type="dxa"/>
            <w:tcBorders>
              <w:top w:val="single" w:sz="4" w:space="0" w:color="auto"/>
              <w:left w:val="single" w:sz="4" w:space="0" w:color="auto"/>
              <w:bottom w:val="single" w:sz="4" w:space="0" w:color="auto"/>
              <w:right w:val="single" w:sz="4" w:space="0" w:color="auto"/>
            </w:tcBorders>
            <w:vAlign w:val="center"/>
          </w:tcPr>
          <w:p w14:paraId="2D6C50B5" w14:textId="1D21B3A1" w:rsidR="00201E7A" w:rsidRPr="004046E9" w:rsidRDefault="009C07ED" w:rsidP="004046E9">
            <w:pPr>
              <w:jc w:val="center"/>
              <w:rPr>
                <w:rFonts w:ascii="Arial" w:hAnsi="Arial" w:cs="Arial"/>
                <w:noProof/>
                <w:sz w:val="20"/>
                <w:szCs w:val="20"/>
              </w:rPr>
            </w:pPr>
            <w:r w:rsidRPr="004046E9">
              <w:rPr>
                <w:rFonts w:ascii="Arial" w:hAnsi="Arial" w:cs="Arial"/>
                <w:noProof/>
                <w:sz w:val="20"/>
                <w:szCs w:val="20"/>
              </w:rPr>
              <w:t>5164</w:t>
            </w:r>
          </w:p>
        </w:tc>
        <w:tc>
          <w:tcPr>
            <w:tcW w:w="1549" w:type="dxa"/>
            <w:tcBorders>
              <w:top w:val="single" w:sz="4" w:space="0" w:color="auto"/>
              <w:left w:val="single" w:sz="4" w:space="0" w:color="auto"/>
              <w:bottom w:val="single" w:sz="4" w:space="0" w:color="auto"/>
              <w:right w:val="single" w:sz="4" w:space="0" w:color="auto"/>
            </w:tcBorders>
            <w:vAlign w:val="center"/>
          </w:tcPr>
          <w:p w14:paraId="2F60F464" w14:textId="0EDAEFFA" w:rsidR="00201E7A" w:rsidRPr="004046E9" w:rsidRDefault="009C07ED" w:rsidP="004046E9">
            <w:pPr>
              <w:jc w:val="center"/>
              <w:rPr>
                <w:rFonts w:ascii="Arial" w:hAnsi="Arial" w:cs="Arial"/>
                <w:noProof/>
                <w:sz w:val="20"/>
                <w:szCs w:val="20"/>
              </w:rPr>
            </w:pPr>
            <w:r w:rsidRPr="004046E9">
              <w:rPr>
                <w:rFonts w:ascii="Arial" w:hAnsi="Arial" w:cs="Arial"/>
                <w:noProof/>
                <w:sz w:val="20"/>
                <w:szCs w:val="20"/>
              </w:rPr>
              <w:t>5174</w:t>
            </w:r>
          </w:p>
        </w:tc>
        <w:tc>
          <w:tcPr>
            <w:tcW w:w="154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E661C54" w14:textId="06437220" w:rsidR="00201E7A" w:rsidRPr="004046E9" w:rsidRDefault="00201E7A" w:rsidP="004046E9">
            <w:pPr>
              <w:jc w:val="center"/>
              <w:rPr>
                <w:rFonts w:ascii="Arial" w:hAnsi="Arial" w:cs="Arial"/>
                <w:noProof/>
                <w:sz w:val="20"/>
                <w:szCs w:val="20"/>
              </w:rPr>
            </w:pPr>
            <w:r w:rsidRPr="004046E9">
              <w:rPr>
                <w:rFonts w:ascii="Arial" w:hAnsi="Arial" w:cs="Arial"/>
                <w:noProof/>
                <w:sz w:val="20"/>
                <w:szCs w:val="20"/>
              </w:rPr>
              <w:t xml:space="preserve">5,184 </w:t>
            </w:r>
          </w:p>
        </w:tc>
      </w:tr>
      <w:tr w:rsidR="005A2917" w:rsidRPr="007A7600" w14:paraId="7895BBEB" w14:textId="2F9861C4" w:rsidTr="7D4D3DCD">
        <w:trPr>
          <w:trHeight w:val="518"/>
        </w:trPr>
        <w:tc>
          <w:tcPr>
            <w:tcW w:w="6470" w:type="dxa"/>
            <w:tcBorders>
              <w:top w:val="single" w:sz="4" w:space="0" w:color="auto"/>
              <w:bottom w:val="single" w:sz="4" w:space="0" w:color="auto"/>
            </w:tcBorders>
            <w:vAlign w:val="center"/>
          </w:tcPr>
          <w:p w14:paraId="6E8E4AC8" w14:textId="77777777" w:rsidR="005A2917" w:rsidRPr="007A7600" w:rsidRDefault="005A2917" w:rsidP="007D4DED">
            <w:pPr>
              <w:rPr>
                <w:rFonts w:ascii="Arial" w:hAnsi="Arial" w:cs="Arial"/>
                <w:b/>
                <w:bCs/>
                <w:noProof/>
                <w:color w:val="C45911" w:themeColor="accent2" w:themeShade="BF"/>
              </w:rPr>
            </w:pPr>
            <w:r w:rsidRPr="007A7600">
              <w:rPr>
                <w:rFonts w:ascii="Arial" w:hAnsi="Arial" w:cs="Arial"/>
                <w:b/>
                <w:bCs/>
                <w:noProof/>
                <w:color w:val="C45911" w:themeColor="accent2" w:themeShade="BF"/>
              </w:rPr>
              <w:t>Customer Affordability</w:t>
            </w:r>
          </w:p>
        </w:tc>
        <w:tc>
          <w:tcPr>
            <w:tcW w:w="1549" w:type="dxa"/>
            <w:tcBorders>
              <w:top w:val="single" w:sz="4" w:space="0" w:color="auto"/>
              <w:bottom w:val="single" w:sz="4" w:space="0" w:color="auto"/>
            </w:tcBorders>
            <w:vAlign w:val="center"/>
          </w:tcPr>
          <w:p w14:paraId="63D7BDDC" w14:textId="70A2FB07" w:rsidR="005A2917" w:rsidRPr="004046E9" w:rsidRDefault="00FE21BD" w:rsidP="007D4DED">
            <w:pPr>
              <w:jc w:val="center"/>
              <w:rPr>
                <w:rFonts w:ascii="Arial" w:hAnsi="Arial" w:cs="Arial"/>
                <w:noProof/>
                <w:sz w:val="20"/>
                <w:szCs w:val="20"/>
              </w:rPr>
            </w:pPr>
            <w:r w:rsidRPr="004046E9">
              <w:rPr>
                <w:rFonts w:ascii="Arial" w:hAnsi="Arial" w:cs="Arial"/>
                <w:noProof/>
                <w:sz w:val="20"/>
                <w:szCs w:val="20"/>
              </w:rPr>
              <w:t>95</w:t>
            </w:r>
          </w:p>
        </w:tc>
        <w:tc>
          <w:tcPr>
            <w:tcW w:w="1549" w:type="dxa"/>
            <w:tcBorders>
              <w:top w:val="single" w:sz="4" w:space="0" w:color="auto"/>
              <w:bottom w:val="single" w:sz="4" w:space="0" w:color="auto"/>
            </w:tcBorders>
            <w:vAlign w:val="center"/>
          </w:tcPr>
          <w:p w14:paraId="669B8DA4" w14:textId="0A3883D5" w:rsidR="005A2917" w:rsidRPr="004046E9" w:rsidRDefault="00FE21BD" w:rsidP="007D4DED">
            <w:pPr>
              <w:jc w:val="center"/>
              <w:rPr>
                <w:rFonts w:ascii="Arial" w:hAnsi="Arial" w:cs="Arial"/>
                <w:noProof/>
                <w:sz w:val="20"/>
                <w:szCs w:val="20"/>
              </w:rPr>
            </w:pPr>
            <w:r w:rsidRPr="004046E9">
              <w:rPr>
                <w:rFonts w:ascii="Arial" w:hAnsi="Arial" w:cs="Arial"/>
                <w:noProof/>
                <w:sz w:val="20"/>
                <w:szCs w:val="20"/>
              </w:rPr>
              <w:t>96</w:t>
            </w:r>
          </w:p>
        </w:tc>
        <w:tc>
          <w:tcPr>
            <w:tcW w:w="1549" w:type="dxa"/>
            <w:tcBorders>
              <w:top w:val="single" w:sz="4" w:space="0" w:color="auto"/>
              <w:bottom w:val="single" w:sz="4" w:space="0" w:color="auto"/>
            </w:tcBorders>
            <w:vAlign w:val="center"/>
          </w:tcPr>
          <w:p w14:paraId="449B365E" w14:textId="14E19043" w:rsidR="005A2917" w:rsidRPr="004046E9" w:rsidRDefault="00FE21BD" w:rsidP="007D4DED">
            <w:pPr>
              <w:jc w:val="center"/>
              <w:rPr>
                <w:rFonts w:ascii="Arial" w:hAnsi="Arial" w:cs="Arial"/>
                <w:noProof/>
                <w:sz w:val="20"/>
                <w:szCs w:val="20"/>
              </w:rPr>
            </w:pPr>
            <w:r w:rsidRPr="004046E9">
              <w:rPr>
                <w:rFonts w:ascii="Arial" w:hAnsi="Arial" w:cs="Arial"/>
                <w:noProof/>
                <w:sz w:val="20"/>
                <w:szCs w:val="20"/>
              </w:rPr>
              <w:t>97</w:t>
            </w:r>
          </w:p>
        </w:tc>
        <w:tc>
          <w:tcPr>
            <w:tcW w:w="1549" w:type="dxa"/>
            <w:tcBorders>
              <w:top w:val="single" w:sz="4" w:space="0" w:color="auto"/>
              <w:bottom w:val="single" w:sz="4" w:space="0" w:color="auto"/>
            </w:tcBorders>
            <w:vAlign w:val="center"/>
          </w:tcPr>
          <w:p w14:paraId="11818034" w14:textId="2EC73E06" w:rsidR="005A2917" w:rsidRPr="004046E9" w:rsidRDefault="00FE21BD" w:rsidP="007D4DED">
            <w:pPr>
              <w:jc w:val="center"/>
              <w:rPr>
                <w:rFonts w:ascii="Arial" w:hAnsi="Arial" w:cs="Arial"/>
                <w:noProof/>
                <w:sz w:val="20"/>
                <w:szCs w:val="20"/>
              </w:rPr>
            </w:pPr>
            <w:r w:rsidRPr="004046E9">
              <w:rPr>
                <w:rFonts w:ascii="Arial" w:hAnsi="Arial" w:cs="Arial"/>
                <w:noProof/>
                <w:sz w:val="20"/>
                <w:szCs w:val="20"/>
              </w:rPr>
              <w:t>98</w:t>
            </w:r>
          </w:p>
        </w:tc>
        <w:tc>
          <w:tcPr>
            <w:tcW w:w="1549" w:type="dxa"/>
            <w:tcBorders>
              <w:top w:val="single" w:sz="4" w:space="0" w:color="auto"/>
              <w:bottom w:val="single" w:sz="4" w:space="0" w:color="auto"/>
            </w:tcBorders>
            <w:shd w:val="clear" w:color="auto" w:fill="DEEAF6" w:themeFill="accent5" w:themeFillTint="33"/>
            <w:vAlign w:val="center"/>
          </w:tcPr>
          <w:p w14:paraId="0B4DD484" w14:textId="570D337F" w:rsidR="005A2917" w:rsidRPr="004046E9" w:rsidRDefault="005A2917" w:rsidP="007D4DED">
            <w:pPr>
              <w:jc w:val="center"/>
              <w:rPr>
                <w:rFonts w:ascii="Arial" w:hAnsi="Arial" w:cs="Arial"/>
                <w:noProof/>
                <w:sz w:val="20"/>
                <w:szCs w:val="20"/>
              </w:rPr>
            </w:pPr>
            <w:r w:rsidRPr="004046E9">
              <w:rPr>
                <w:rFonts w:ascii="Arial" w:hAnsi="Arial" w:cs="Arial"/>
                <w:noProof/>
                <w:sz w:val="20"/>
                <w:szCs w:val="20"/>
              </w:rPr>
              <w:t>100%</w:t>
            </w:r>
          </w:p>
        </w:tc>
      </w:tr>
      <w:tr w:rsidR="005A2917" w:rsidRPr="007A7600" w14:paraId="2FEE15D9" w14:textId="4E367C95" w:rsidTr="7D4D3DCD">
        <w:trPr>
          <w:trHeight w:val="518"/>
        </w:trPr>
        <w:tc>
          <w:tcPr>
            <w:tcW w:w="6470" w:type="dxa"/>
            <w:tcBorders>
              <w:bottom w:val="single" w:sz="4" w:space="0" w:color="auto"/>
            </w:tcBorders>
            <w:vAlign w:val="center"/>
          </w:tcPr>
          <w:p w14:paraId="2357236E" w14:textId="77777777" w:rsidR="005A2917" w:rsidRPr="007A7600" w:rsidRDefault="005A2917" w:rsidP="005A2917">
            <w:pPr>
              <w:rPr>
                <w:rFonts w:ascii="Arial" w:hAnsi="Arial" w:cs="Arial"/>
                <w:b/>
                <w:bCs/>
                <w:noProof/>
                <w:color w:val="C45911" w:themeColor="accent2" w:themeShade="BF"/>
              </w:rPr>
            </w:pPr>
            <w:r w:rsidRPr="007A7600">
              <w:rPr>
                <w:rFonts w:ascii="Arial" w:hAnsi="Arial" w:cs="Arial"/>
                <w:b/>
                <w:bCs/>
                <w:noProof/>
                <w:color w:val="C45911" w:themeColor="accent2" w:themeShade="BF"/>
              </w:rPr>
              <w:t>% Increase in Social Impact from our</w:t>
            </w:r>
            <w:r>
              <w:rPr>
                <w:rFonts w:ascii="Arial" w:hAnsi="Arial" w:cs="Arial"/>
                <w:b/>
                <w:bCs/>
                <w:noProof/>
                <w:color w:val="C45911" w:themeColor="accent2" w:themeShade="BF"/>
              </w:rPr>
              <w:t xml:space="preserve"> </w:t>
            </w:r>
            <w:r w:rsidRPr="007A7600">
              <w:rPr>
                <w:rFonts w:ascii="Arial" w:hAnsi="Arial" w:cs="Arial"/>
                <w:b/>
                <w:bCs/>
                <w:noProof/>
                <w:color w:val="C45911" w:themeColor="accent2" w:themeShade="BF"/>
              </w:rPr>
              <w:t>Community Investment</w:t>
            </w:r>
          </w:p>
        </w:tc>
        <w:tc>
          <w:tcPr>
            <w:tcW w:w="1549" w:type="dxa"/>
            <w:tcBorders>
              <w:bottom w:val="single" w:sz="4" w:space="0" w:color="auto"/>
            </w:tcBorders>
            <w:vAlign w:val="center"/>
          </w:tcPr>
          <w:p w14:paraId="60F6EC94" w14:textId="08DE79FC" w:rsidR="005A2917" w:rsidRPr="004046E9" w:rsidRDefault="007D2C34" w:rsidP="004046E9">
            <w:pPr>
              <w:jc w:val="center"/>
              <w:rPr>
                <w:rFonts w:ascii="Arial" w:hAnsi="Arial" w:cs="Arial"/>
                <w:noProof/>
                <w:sz w:val="20"/>
                <w:szCs w:val="20"/>
              </w:rPr>
            </w:pPr>
            <w:r w:rsidRPr="004046E9">
              <w:rPr>
                <w:rFonts w:ascii="Arial" w:hAnsi="Arial" w:cs="Arial"/>
                <w:noProof/>
                <w:sz w:val="20"/>
                <w:szCs w:val="20"/>
              </w:rPr>
              <w:t>0%</w:t>
            </w:r>
          </w:p>
        </w:tc>
        <w:tc>
          <w:tcPr>
            <w:tcW w:w="1549" w:type="dxa"/>
            <w:tcBorders>
              <w:bottom w:val="single" w:sz="4" w:space="0" w:color="auto"/>
            </w:tcBorders>
            <w:vAlign w:val="center"/>
          </w:tcPr>
          <w:p w14:paraId="7BDEDDC0" w14:textId="084803D2" w:rsidR="005A2917" w:rsidRPr="004046E9" w:rsidRDefault="006536EE" w:rsidP="004046E9">
            <w:pPr>
              <w:jc w:val="center"/>
              <w:rPr>
                <w:rFonts w:ascii="Arial" w:hAnsi="Arial" w:cs="Arial"/>
                <w:noProof/>
                <w:sz w:val="20"/>
                <w:szCs w:val="20"/>
              </w:rPr>
            </w:pPr>
            <w:r w:rsidRPr="004046E9">
              <w:rPr>
                <w:rFonts w:ascii="Arial" w:hAnsi="Arial" w:cs="Arial"/>
                <w:noProof/>
                <w:sz w:val="20"/>
                <w:szCs w:val="20"/>
              </w:rPr>
              <w:t>2.5%</w:t>
            </w:r>
          </w:p>
        </w:tc>
        <w:tc>
          <w:tcPr>
            <w:tcW w:w="1549" w:type="dxa"/>
            <w:tcBorders>
              <w:bottom w:val="single" w:sz="4" w:space="0" w:color="auto"/>
            </w:tcBorders>
            <w:vAlign w:val="center"/>
          </w:tcPr>
          <w:p w14:paraId="3DBF395B" w14:textId="4DC73880" w:rsidR="005A2917" w:rsidRPr="004046E9" w:rsidRDefault="006536EE" w:rsidP="004046E9">
            <w:pPr>
              <w:jc w:val="center"/>
              <w:rPr>
                <w:rFonts w:ascii="Arial" w:hAnsi="Arial" w:cs="Arial"/>
                <w:noProof/>
                <w:sz w:val="20"/>
                <w:szCs w:val="20"/>
              </w:rPr>
            </w:pPr>
            <w:r w:rsidRPr="004046E9">
              <w:rPr>
                <w:rFonts w:ascii="Arial" w:hAnsi="Arial" w:cs="Arial"/>
                <w:noProof/>
                <w:sz w:val="20"/>
                <w:szCs w:val="20"/>
              </w:rPr>
              <w:t>5%</w:t>
            </w:r>
          </w:p>
        </w:tc>
        <w:tc>
          <w:tcPr>
            <w:tcW w:w="1549" w:type="dxa"/>
            <w:tcBorders>
              <w:bottom w:val="single" w:sz="4" w:space="0" w:color="auto"/>
            </w:tcBorders>
            <w:vAlign w:val="center"/>
          </w:tcPr>
          <w:p w14:paraId="6C081D71" w14:textId="6ECF5C97" w:rsidR="005A2917" w:rsidRPr="004046E9" w:rsidRDefault="006536EE" w:rsidP="004046E9">
            <w:pPr>
              <w:jc w:val="center"/>
              <w:rPr>
                <w:rFonts w:ascii="Arial" w:hAnsi="Arial" w:cs="Arial"/>
                <w:noProof/>
                <w:sz w:val="20"/>
                <w:szCs w:val="20"/>
              </w:rPr>
            </w:pPr>
            <w:r w:rsidRPr="004046E9">
              <w:rPr>
                <w:rFonts w:ascii="Arial" w:hAnsi="Arial" w:cs="Arial"/>
                <w:noProof/>
                <w:sz w:val="20"/>
                <w:szCs w:val="20"/>
              </w:rPr>
              <w:t>7.5%</w:t>
            </w:r>
          </w:p>
        </w:tc>
        <w:tc>
          <w:tcPr>
            <w:tcW w:w="1549" w:type="dxa"/>
            <w:tcBorders>
              <w:bottom w:val="single" w:sz="4" w:space="0" w:color="auto"/>
            </w:tcBorders>
            <w:shd w:val="clear" w:color="auto" w:fill="DEEAF6" w:themeFill="accent5" w:themeFillTint="33"/>
            <w:vAlign w:val="center"/>
          </w:tcPr>
          <w:p w14:paraId="26250858" w14:textId="307D73C4" w:rsidR="005A2917" w:rsidRPr="004046E9" w:rsidRDefault="005A2917" w:rsidP="004046E9">
            <w:pPr>
              <w:jc w:val="center"/>
              <w:rPr>
                <w:rFonts w:ascii="Arial" w:hAnsi="Arial" w:cs="Arial"/>
                <w:noProof/>
                <w:sz w:val="20"/>
                <w:szCs w:val="20"/>
              </w:rPr>
            </w:pPr>
            <w:r w:rsidRPr="004046E9">
              <w:rPr>
                <w:rFonts w:ascii="Arial" w:hAnsi="Arial" w:cs="Arial"/>
                <w:noProof/>
                <w:sz w:val="20"/>
                <w:szCs w:val="20"/>
              </w:rPr>
              <w:t>10%</w:t>
            </w:r>
          </w:p>
        </w:tc>
      </w:tr>
      <w:tr w:rsidR="005A2917" w:rsidRPr="007A7600" w14:paraId="274C660E" w14:textId="318ACED4" w:rsidTr="7D4D3DCD">
        <w:trPr>
          <w:trHeight w:val="518"/>
        </w:trPr>
        <w:tc>
          <w:tcPr>
            <w:tcW w:w="6470" w:type="dxa"/>
            <w:tcBorders>
              <w:bottom w:val="single" w:sz="4" w:space="0" w:color="auto"/>
            </w:tcBorders>
            <w:vAlign w:val="center"/>
          </w:tcPr>
          <w:p w14:paraId="5BC8EC7D" w14:textId="77777777" w:rsidR="005A2917" w:rsidRPr="007A7600" w:rsidRDefault="005A2917" w:rsidP="005A2917">
            <w:pPr>
              <w:rPr>
                <w:rFonts w:ascii="Arial" w:hAnsi="Arial" w:cs="Arial"/>
                <w:b/>
                <w:bCs/>
                <w:noProof/>
                <w:color w:val="C45911" w:themeColor="accent2" w:themeShade="BF"/>
              </w:rPr>
            </w:pPr>
            <w:r w:rsidRPr="007A7600">
              <w:rPr>
                <w:rFonts w:ascii="Arial" w:hAnsi="Arial" w:cs="Arial"/>
                <w:b/>
                <w:bCs/>
                <w:noProof/>
                <w:color w:val="C45911" w:themeColor="accent2" w:themeShade="BF"/>
              </w:rPr>
              <w:t>% Diversity of Workforce</w:t>
            </w:r>
          </w:p>
        </w:tc>
        <w:tc>
          <w:tcPr>
            <w:tcW w:w="1549" w:type="dxa"/>
            <w:tcBorders>
              <w:bottom w:val="single" w:sz="4" w:space="0" w:color="auto"/>
            </w:tcBorders>
            <w:vAlign w:val="center"/>
          </w:tcPr>
          <w:p w14:paraId="46255C43" w14:textId="242001BF" w:rsidR="005A2917" w:rsidRPr="004046E9" w:rsidRDefault="007E7DC9" w:rsidP="004046E9">
            <w:pPr>
              <w:jc w:val="center"/>
              <w:rPr>
                <w:rFonts w:ascii="Arial" w:hAnsi="Arial" w:cs="Arial"/>
                <w:noProof/>
                <w:sz w:val="20"/>
                <w:szCs w:val="20"/>
              </w:rPr>
            </w:pPr>
            <w:r w:rsidRPr="004046E9">
              <w:rPr>
                <w:rFonts w:ascii="Arial" w:hAnsi="Arial" w:cs="Arial"/>
                <w:noProof/>
                <w:sz w:val="20"/>
                <w:szCs w:val="20"/>
              </w:rPr>
              <w:t>33</w:t>
            </w:r>
            <w:r w:rsidR="006536EE" w:rsidRPr="004046E9">
              <w:rPr>
                <w:rFonts w:ascii="Arial" w:hAnsi="Arial" w:cs="Arial"/>
                <w:noProof/>
                <w:sz w:val="20"/>
                <w:szCs w:val="20"/>
              </w:rPr>
              <w:t>%</w:t>
            </w:r>
          </w:p>
        </w:tc>
        <w:tc>
          <w:tcPr>
            <w:tcW w:w="1549" w:type="dxa"/>
            <w:tcBorders>
              <w:bottom w:val="single" w:sz="4" w:space="0" w:color="auto"/>
            </w:tcBorders>
            <w:vAlign w:val="center"/>
          </w:tcPr>
          <w:p w14:paraId="225162EA" w14:textId="3F3F5EDA" w:rsidR="005A2917" w:rsidRPr="004046E9" w:rsidRDefault="006536EE" w:rsidP="004046E9">
            <w:pPr>
              <w:jc w:val="center"/>
              <w:rPr>
                <w:rFonts w:ascii="Arial" w:hAnsi="Arial" w:cs="Arial"/>
                <w:noProof/>
                <w:sz w:val="20"/>
                <w:szCs w:val="20"/>
              </w:rPr>
            </w:pPr>
            <w:r w:rsidRPr="004046E9">
              <w:rPr>
                <w:rFonts w:ascii="Arial" w:hAnsi="Arial" w:cs="Arial"/>
                <w:noProof/>
                <w:sz w:val="20"/>
                <w:szCs w:val="20"/>
              </w:rPr>
              <w:t>33</w:t>
            </w:r>
            <w:r w:rsidR="009C2F72" w:rsidRPr="004046E9">
              <w:rPr>
                <w:rFonts w:ascii="Arial" w:hAnsi="Arial" w:cs="Arial"/>
                <w:noProof/>
                <w:sz w:val="20"/>
                <w:szCs w:val="20"/>
              </w:rPr>
              <w:t>.5</w:t>
            </w:r>
            <w:r w:rsidRPr="004046E9">
              <w:rPr>
                <w:rFonts w:ascii="Arial" w:hAnsi="Arial" w:cs="Arial"/>
                <w:noProof/>
                <w:sz w:val="20"/>
                <w:szCs w:val="20"/>
              </w:rPr>
              <w:t>%</w:t>
            </w:r>
          </w:p>
        </w:tc>
        <w:tc>
          <w:tcPr>
            <w:tcW w:w="1549" w:type="dxa"/>
            <w:tcBorders>
              <w:bottom w:val="single" w:sz="4" w:space="0" w:color="auto"/>
            </w:tcBorders>
            <w:vAlign w:val="center"/>
          </w:tcPr>
          <w:p w14:paraId="3B9953A0" w14:textId="67B6C7CA" w:rsidR="005A2917" w:rsidRPr="004046E9" w:rsidRDefault="006536EE" w:rsidP="004046E9">
            <w:pPr>
              <w:jc w:val="center"/>
              <w:rPr>
                <w:rFonts w:ascii="Arial" w:hAnsi="Arial" w:cs="Arial"/>
                <w:noProof/>
                <w:sz w:val="20"/>
                <w:szCs w:val="20"/>
              </w:rPr>
            </w:pPr>
            <w:r w:rsidRPr="004046E9">
              <w:rPr>
                <w:rFonts w:ascii="Arial" w:hAnsi="Arial" w:cs="Arial"/>
                <w:noProof/>
                <w:sz w:val="20"/>
                <w:szCs w:val="20"/>
              </w:rPr>
              <w:t>34%</w:t>
            </w:r>
          </w:p>
        </w:tc>
        <w:tc>
          <w:tcPr>
            <w:tcW w:w="1549" w:type="dxa"/>
            <w:tcBorders>
              <w:bottom w:val="single" w:sz="4" w:space="0" w:color="auto"/>
            </w:tcBorders>
            <w:vAlign w:val="center"/>
          </w:tcPr>
          <w:p w14:paraId="042A05AF" w14:textId="50C6DB11" w:rsidR="005A2917" w:rsidRPr="004046E9" w:rsidRDefault="006536EE" w:rsidP="004046E9">
            <w:pPr>
              <w:jc w:val="center"/>
              <w:rPr>
                <w:rFonts w:ascii="Arial" w:hAnsi="Arial" w:cs="Arial"/>
                <w:noProof/>
                <w:sz w:val="20"/>
                <w:szCs w:val="20"/>
              </w:rPr>
            </w:pPr>
            <w:r w:rsidRPr="004046E9">
              <w:rPr>
                <w:rFonts w:ascii="Arial" w:hAnsi="Arial" w:cs="Arial"/>
                <w:noProof/>
                <w:sz w:val="20"/>
                <w:szCs w:val="20"/>
              </w:rPr>
              <w:t>34</w:t>
            </w:r>
            <w:r w:rsidR="009C2F72" w:rsidRPr="004046E9">
              <w:rPr>
                <w:rFonts w:ascii="Arial" w:hAnsi="Arial" w:cs="Arial"/>
                <w:noProof/>
                <w:sz w:val="20"/>
                <w:szCs w:val="20"/>
              </w:rPr>
              <w:t>.5</w:t>
            </w:r>
            <w:r w:rsidRPr="004046E9">
              <w:rPr>
                <w:rFonts w:ascii="Arial" w:hAnsi="Arial" w:cs="Arial"/>
                <w:noProof/>
                <w:sz w:val="20"/>
                <w:szCs w:val="20"/>
              </w:rPr>
              <w:t>%</w:t>
            </w:r>
          </w:p>
        </w:tc>
        <w:tc>
          <w:tcPr>
            <w:tcW w:w="1549" w:type="dxa"/>
            <w:tcBorders>
              <w:bottom w:val="single" w:sz="4" w:space="0" w:color="auto"/>
            </w:tcBorders>
            <w:shd w:val="clear" w:color="auto" w:fill="DEEAF6" w:themeFill="accent5" w:themeFillTint="33"/>
            <w:vAlign w:val="center"/>
          </w:tcPr>
          <w:p w14:paraId="53643995" w14:textId="0276E917" w:rsidR="005A2917" w:rsidRPr="004046E9" w:rsidRDefault="005A2917" w:rsidP="004046E9">
            <w:pPr>
              <w:jc w:val="center"/>
              <w:rPr>
                <w:rFonts w:ascii="Arial" w:hAnsi="Arial" w:cs="Arial"/>
                <w:noProof/>
                <w:sz w:val="20"/>
                <w:szCs w:val="20"/>
              </w:rPr>
            </w:pPr>
            <w:r w:rsidRPr="004046E9">
              <w:rPr>
                <w:rFonts w:ascii="Arial" w:hAnsi="Arial" w:cs="Arial"/>
                <w:noProof/>
                <w:sz w:val="20"/>
                <w:szCs w:val="20"/>
              </w:rPr>
              <w:t>3</w:t>
            </w:r>
            <w:r w:rsidR="007E7DC9" w:rsidRPr="004046E9">
              <w:rPr>
                <w:rFonts w:ascii="Arial" w:hAnsi="Arial" w:cs="Arial"/>
                <w:noProof/>
                <w:sz w:val="20"/>
                <w:szCs w:val="20"/>
              </w:rPr>
              <w:t>5</w:t>
            </w:r>
            <w:r w:rsidRPr="004046E9">
              <w:rPr>
                <w:rFonts w:ascii="Arial" w:hAnsi="Arial" w:cs="Arial"/>
                <w:noProof/>
                <w:sz w:val="20"/>
                <w:szCs w:val="20"/>
              </w:rPr>
              <w:t>%</w:t>
            </w:r>
          </w:p>
        </w:tc>
      </w:tr>
      <w:tr w:rsidR="006536EE" w:rsidRPr="007A7600" w14:paraId="3AA64E47" w14:textId="601873CB" w:rsidTr="7D4D3DCD">
        <w:trPr>
          <w:trHeight w:val="518"/>
        </w:trPr>
        <w:tc>
          <w:tcPr>
            <w:tcW w:w="6470" w:type="dxa"/>
            <w:tcBorders>
              <w:top w:val="single" w:sz="4" w:space="0" w:color="auto"/>
              <w:bottom w:val="single" w:sz="4" w:space="0" w:color="auto"/>
            </w:tcBorders>
            <w:vAlign w:val="center"/>
          </w:tcPr>
          <w:p w14:paraId="38F3DFA8" w14:textId="77777777" w:rsidR="006536EE" w:rsidRPr="007A7600" w:rsidRDefault="006536EE" w:rsidP="006536EE">
            <w:pPr>
              <w:rPr>
                <w:rFonts w:ascii="Arial" w:hAnsi="Arial" w:cs="Arial"/>
                <w:b/>
                <w:bCs/>
                <w:noProof/>
                <w:color w:val="C45911" w:themeColor="accent2" w:themeShade="BF"/>
              </w:rPr>
            </w:pPr>
            <w:r w:rsidRPr="007A7600">
              <w:rPr>
                <w:rFonts w:ascii="Arial" w:hAnsi="Arial" w:cs="Arial"/>
                <w:b/>
                <w:bCs/>
                <w:noProof/>
                <w:color w:val="C45911" w:themeColor="accent2" w:themeShade="BF"/>
              </w:rPr>
              <w:t>Achieve 5% club status</w:t>
            </w:r>
          </w:p>
        </w:tc>
        <w:tc>
          <w:tcPr>
            <w:tcW w:w="1549" w:type="dxa"/>
            <w:tcBorders>
              <w:top w:val="single" w:sz="4" w:space="0" w:color="auto"/>
              <w:bottom w:val="single" w:sz="4" w:space="0" w:color="auto"/>
            </w:tcBorders>
            <w:vAlign w:val="center"/>
          </w:tcPr>
          <w:p w14:paraId="7ED80F30" w14:textId="2C978D08" w:rsidR="006536EE" w:rsidRPr="004046E9" w:rsidRDefault="006536EE" w:rsidP="004046E9">
            <w:pPr>
              <w:contextualSpacing/>
              <w:jc w:val="center"/>
              <w:rPr>
                <w:rFonts w:ascii="Arial" w:hAnsi="Arial" w:cs="Arial"/>
                <w:noProof/>
                <w:sz w:val="20"/>
                <w:szCs w:val="20"/>
              </w:rPr>
            </w:pPr>
            <w:r w:rsidRPr="004046E9">
              <w:rPr>
                <w:rFonts w:ascii="Arial" w:hAnsi="Arial" w:cs="Arial"/>
                <w:noProof/>
                <w:sz w:val="20"/>
                <w:szCs w:val="20"/>
              </w:rPr>
              <w:t>Platinum</w:t>
            </w:r>
          </w:p>
        </w:tc>
        <w:tc>
          <w:tcPr>
            <w:tcW w:w="1549" w:type="dxa"/>
            <w:tcBorders>
              <w:top w:val="single" w:sz="4" w:space="0" w:color="auto"/>
              <w:bottom w:val="single" w:sz="4" w:space="0" w:color="auto"/>
            </w:tcBorders>
            <w:vAlign w:val="center"/>
          </w:tcPr>
          <w:p w14:paraId="41CB9880" w14:textId="4D0A39C2" w:rsidR="006536EE" w:rsidRPr="004046E9" w:rsidRDefault="006536EE" w:rsidP="004046E9">
            <w:pPr>
              <w:jc w:val="center"/>
              <w:rPr>
                <w:rFonts w:ascii="Arial" w:hAnsi="Arial" w:cs="Arial"/>
                <w:noProof/>
                <w:sz w:val="20"/>
                <w:szCs w:val="20"/>
              </w:rPr>
            </w:pPr>
            <w:r w:rsidRPr="004046E9">
              <w:rPr>
                <w:rFonts w:ascii="Arial" w:hAnsi="Arial" w:cs="Arial"/>
                <w:noProof/>
                <w:sz w:val="20"/>
                <w:szCs w:val="20"/>
              </w:rPr>
              <w:t>Platinum</w:t>
            </w:r>
          </w:p>
        </w:tc>
        <w:tc>
          <w:tcPr>
            <w:tcW w:w="1549" w:type="dxa"/>
            <w:tcBorders>
              <w:top w:val="single" w:sz="4" w:space="0" w:color="auto"/>
              <w:bottom w:val="single" w:sz="4" w:space="0" w:color="auto"/>
            </w:tcBorders>
            <w:vAlign w:val="center"/>
          </w:tcPr>
          <w:p w14:paraId="20CBE11E" w14:textId="1C5696C1" w:rsidR="006536EE" w:rsidRPr="004046E9" w:rsidRDefault="006536EE" w:rsidP="004046E9">
            <w:pPr>
              <w:jc w:val="center"/>
              <w:rPr>
                <w:rFonts w:ascii="Arial" w:hAnsi="Arial" w:cs="Arial"/>
                <w:noProof/>
                <w:sz w:val="20"/>
                <w:szCs w:val="20"/>
              </w:rPr>
            </w:pPr>
            <w:r w:rsidRPr="004046E9">
              <w:rPr>
                <w:rFonts w:ascii="Arial" w:hAnsi="Arial" w:cs="Arial"/>
                <w:noProof/>
                <w:sz w:val="20"/>
                <w:szCs w:val="20"/>
              </w:rPr>
              <w:t>Platinum</w:t>
            </w:r>
          </w:p>
        </w:tc>
        <w:tc>
          <w:tcPr>
            <w:tcW w:w="1549" w:type="dxa"/>
            <w:tcBorders>
              <w:top w:val="single" w:sz="4" w:space="0" w:color="auto"/>
              <w:bottom w:val="single" w:sz="4" w:space="0" w:color="auto"/>
            </w:tcBorders>
            <w:vAlign w:val="center"/>
          </w:tcPr>
          <w:p w14:paraId="48880F71" w14:textId="40E22455" w:rsidR="006536EE" w:rsidRPr="004046E9" w:rsidRDefault="006536EE" w:rsidP="004046E9">
            <w:pPr>
              <w:jc w:val="center"/>
              <w:rPr>
                <w:rFonts w:ascii="Arial" w:hAnsi="Arial" w:cs="Arial"/>
                <w:noProof/>
                <w:sz w:val="20"/>
                <w:szCs w:val="20"/>
              </w:rPr>
            </w:pPr>
            <w:r w:rsidRPr="004046E9">
              <w:rPr>
                <w:rFonts w:ascii="Arial" w:hAnsi="Arial" w:cs="Arial"/>
                <w:noProof/>
                <w:sz w:val="20"/>
                <w:szCs w:val="20"/>
              </w:rPr>
              <w:t>Platinum</w:t>
            </w:r>
          </w:p>
        </w:tc>
        <w:tc>
          <w:tcPr>
            <w:tcW w:w="1549" w:type="dxa"/>
            <w:tcBorders>
              <w:top w:val="single" w:sz="4" w:space="0" w:color="auto"/>
              <w:bottom w:val="single" w:sz="4" w:space="0" w:color="auto"/>
            </w:tcBorders>
            <w:shd w:val="clear" w:color="auto" w:fill="DEEAF6" w:themeFill="accent5" w:themeFillTint="33"/>
            <w:vAlign w:val="center"/>
          </w:tcPr>
          <w:p w14:paraId="257B0606" w14:textId="3E98AFE3" w:rsidR="006536EE" w:rsidRPr="004046E9" w:rsidRDefault="006536EE" w:rsidP="004046E9">
            <w:pPr>
              <w:jc w:val="center"/>
              <w:rPr>
                <w:rFonts w:ascii="Arial" w:hAnsi="Arial" w:cs="Arial"/>
                <w:noProof/>
                <w:sz w:val="20"/>
                <w:szCs w:val="20"/>
              </w:rPr>
            </w:pPr>
            <w:r w:rsidRPr="004046E9">
              <w:rPr>
                <w:rFonts w:ascii="Arial" w:hAnsi="Arial" w:cs="Arial"/>
                <w:noProof/>
                <w:sz w:val="20"/>
                <w:szCs w:val="20"/>
              </w:rPr>
              <w:t>Platinum</w:t>
            </w:r>
          </w:p>
        </w:tc>
      </w:tr>
      <w:tr w:rsidR="006536EE" w:rsidRPr="007A7600" w14:paraId="152E5183" w14:textId="6740D4B4" w:rsidTr="7D4D3DCD">
        <w:trPr>
          <w:trHeight w:val="518"/>
        </w:trPr>
        <w:tc>
          <w:tcPr>
            <w:tcW w:w="6470" w:type="dxa"/>
            <w:tcBorders>
              <w:top w:val="single" w:sz="4" w:space="0" w:color="auto"/>
              <w:bottom w:val="single" w:sz="4" w:space="0" w:color="auto"/>
            </w:tcBorders>
            <w:vAlign w:val="center"/>
          </w:tcPr>
          <w:p w14:paraId="1915C33A" w14:textId="77777777" w:rsidR="006536EE" w:rsidRPr="007A7600" w:rsidRDefault="006536EE" w:rsidP="004046E9">
            <w:pPr>
              <w:rPr>
                <w:rFonts w:ascii="Arial" w:hAnsi="Arial" w:cs="Arial"/>
                <w:b/>
                <w:bCs/>
                <w:noProof/>
                <w:color w:val="C45911" w:themeColor="accent2" w:themeShade="BF"/>
              </w:rPr>
            </w:pPr>
            <w:r w:rsidRPr="007A7600">
              <w:rPr>
                <w:rFonts w:ascii="Arial" w:hAnsi="Arial" w:cs="Arial"/>
                <w:b/>
                <w:bCs/>
                <w:noProof/>
                <w:color w:val="C45911" w:themeColor="accent2" w:themeShade="BF"/>
              </w:rPr>
              <w:t>Glassdoor Score (average)</w:t>
            </w:r>
          </w:p>
        </w:tc>
        <w:tc>
          <w:tcPr>
            <w:tcW w:w="1549" w:type="dxa"/>
            <w:tcBorders>
              <w:top w:val="single" w:sz="4" w:space="0" w:color="auto"/>
              <w:bottom w:val="single" w:sz="4" w:space="0" w:color="auto"/>
            </w:tcBorders>
            <w:vAlign w:val="center"/>
          </w:tcPr>
          <w:p w14:paraId="72EF3BD8" w14:textId="1011FB4F" w:rsidR="006536EE" w:rsidRPr="004046E9" w:rsidRDefault="004046E9" w:rsidP="004046E9">
            <w:pPr>
              <w:jc w:val="center"/>
              <w:rPr>
                <w:rStyle w:val="Hyperlink"/>
                <w:rFonts w:ascii="Arial" w:hAnsi="Arial" w:cs="Arial"/>
                <w:color w:val="auto"/>
                <w:sz w:val="20"/>
                <w:szCs w:val="20"/>
                <w:u w:val="none"/>
              </w:rPr>
            </w:pPr>
            <w:r w:rsidRPr="004046E9">
              <w:rPr>
                <w:rStyle w:val="Hyperlink"/>
                <w:rFonts w:ascii="Arial" w:hAnsi="Arial" w:cs="Arial"/>
                <w:color w:val="auto"/>
                <w:sz w:val="20"/>
                <w:szCs w:val="20"/>
                <w:u w:val="none"/>
              </w:rPr>
              <w:t>3.2</w:t>
            </w:r>
          </w:p>
        </w:tc>
        <w:tc>
          <w:tcPr>
            <w:tcW w:w="1549" w:type="dxa"/>
            <w:tcBorders>
              <w:top w:val="single" w:sz="4" w:space="0" w:color="auto"/>
              <w:bottom w:val="single" w:sz="4" w:space="0" w:color="auto"/>
            </w:tcBorders>
            <w:vAlign w:val="center"/>
          </w:tcPr>
          <w:p w14:paraId="5ED7BB03" w14:textId="76DAE878" w:rsidR="006536EE" w:rsidRPr="004046E9" w:rsidRDefault="006536EE" w:rsidP="004046E9">
            <w:pPr>
              <w:jc w:val="center"/>
              <w:rPr>
                <w:rFonts w:ascii="Arial" w:hAnsi="Arial" w:cs="Arial"/>
                <w:noProof/>
                <w:sz w:val="20"/>
                <w:szCs w:val="20"/>
              </w:rPr>
            </w:pPr>
            <w:r w:rsidRPr="004046E9">
              <w:rPr>
                <w:rFonts w:ascii="Arial" w:hAnsi="Arial" w:cs="Arial"/>
                <w:noProof/>
                <w:sz w:val="20"/>
                <w:szCs w:val="20"/>
              </w:rPr>
              <w:t>3.3</w:t>
            </w:r>
          </w:p>
        </w:tc>
        <w:tc>
          <w:tcPr>
            <w:tcW w:w="1549" w:type="dxa"/>
            <w:tcBorders>
              <w:top w:val="single" w:sz="4" w:space="0" w:color="auto"/>
              <w:bottom w:val="single" w:sz="4" w:space="0" w:color="auto"/>
            </w:tcBorders>
            <w:vAlign w:val="center"/>
          </w:tcPr>
          <w:p w14:paraId="39866E01" w14:textId="24484D57" w:rsidR="006536EE" w:rsidRPr="004046E9" w:rsidRDefault="006536EE" w:rsidP="004046E9">
            <w:pPr>
              <w:jc w:val="center"/>
              <w:rPr>
                <w:rFonts w:ascii="Arial" w:hAnsi="Arial" w:cs="Arial"/>
                <w:noProof/>
                <w:sz w:val="20"/>
                <w:szCs w:val="20"/>
              </w:rPr>
            </w:pPr>
            <w:r w:rsidRPr="004046E9">
              <w:rPr>
                <w:rFonts w:ascii="Arial" w:hAnsi="Arial" w:cs="Arial"/>
                <w:noProof/>
                <w:sz w:val="20"/>
                <w:szCs w:val="20"/>
              </w:rPr>
              <w:t>3.</w:t>
            </w:r>
            <w:r w:rsidR="0097512A" w:rsidRPr="004046E9">
              <w:rPr>
                <w:rFonts w:ascii="Arial" w:hAnsi="Arial" w:cs="Arial"/>
                <w:noProof/>
                <w:sz w:val="20"/>
                <w:szCs w:val="20"/>
              </w:rPr>
              <w:t>4</w:t>
            </w:r>
          </w:p>
        </w:tc>
        <w:tc>
          <w:tcPr>
            <w:tcW w:w="1549" w:type="dxa"/>
            <w:tcBorders>
              <w:top w:val="single" w:sz="4" w:space="0" w:color="auto"/>
              <w:bottom w:val="single" w:sz="4" w:space="0" w:color="auto"/>
            </w:tcBorders>
            <w:vAlign w:val="center"/>
          </w:tcPr>
          <w:p w14:paraId="7536ECD5" w14:textId="6AB9F0FF" w:rsidR="006536EE" w:rsidRPr="004046E9" w:rsidRDefault="006536EE" w:rsidP="004046E9">
            <w:pPr>
              <w:jc w:val="center"/>
              <w:rPr>
                <w:rFonts w:ascii="Arial" w:hAnsi="Arial" w:cs="Arial"/>
                <w:noProof/>
                <w:sz w:val="20"/>
                <w:szCs w:val="20"/>
              </w:rPr>
            </w:pPr>
            <w:r w:rsidRPr="004046E9">
              <w:rPr>
                <w:rFonts w:ascii="Arial" w:hAnsi="Arial" w:cs="Arial"/>
                <w:noProof/>
                <w:sz w:val="20"/>
                <w:szCs w:val="20"/>
              </w:rPr>
              <w:t>3.6</w:t>
            </w:r>
          </w:p>
        </w:tc>
        <w:tc>
          <w:tcPr>
            <w:tcW w:w="1549" w:type="dxa"/>
            <w:tcBorders>
              <w:top w:val="single" w:sz="4" w:space="0" w:color="auto"/>
              <w:bottom w:val="single" w:sz="4" w:space="0" w:color="auto"/>
            </w:tcBorders>
            <w:shd w:val="clear" w:color="auto" w:fill="DEEAF6" w:themeFill="accent5" w:themeFillTint="33"/>
            <w:vAlign w:val="center"/>
          </w:tcPr>
          <w:p w14:paraId="567BF108" w14:textId="5B9EB5AE" w:rsidR="006536EE" w:rsidRPr="004046E9" w:rsidRDefault="006536EE" w:rsidP="004046E9">
            <w:pPr>
              <w:jc w:val="center"/>
              <w:rPr>
                <w:rFonts w:ascii="Arial" w:hAnsi="Arial" w:cs="Arial"/>
                <w:noProof/>
                <w:sz w:val="20"/>
                <w:szCs w:val="20"/>
              </w:rPr>
            </w:pPr>
            <w:r w:rsidRPr="004046E9">
              <w:rPr>
                <w:rFonts w:ascii="Arial" w:hAnsi="Arial" w:cs="Arial"/>
                <w:noProof/>
                <w:sz w:val="20"/>
                <w:szCs w:val="20"/>
              </w:rPr>
              <w:t>3.8</w:t>
            </w:r>
          </w:p>
        </w:tc>
      </w:tr>
      <w:tr w:rsidR="006536EE" w:rsidRPr="007A7600" w14:paraId="61DC13C8" w14:textId="481AFFCA" w:rsidTr="7D4D3DCD">
        <w:trPr>
          <w:trHeight w:val="518"/>
        </w:trPr>
        <w:tc>
          <w:tcPr>
            <w:tcW w:w="6470" w:type="dxa"/>
            <w:tcBorders>
              <w:bottom w:val="single" w:sz="4" w:space="0" w:color="auto"/>
            </w:tcBorders>
            <w:vAlign w:val="center"/>
          </w:tcPr>
          <w:p w14:paraId="2CF9C5E3" w14:textId="77777777" w:rsidR="006536EE" w:rsidRPr="007A7600" w:rsidRDefault="006536EE" w:rsidP="006536EE">
            <w:pPr>
              <w:rPr>
                <w:rFonts w:ascii="Arial" w:hAnsi="Arial" w:cs="Arial"/>
                <w:b/>
                <w:bCs/>
                <w:noProof/>
                <w:color w:val="C45911" w:themeColor="accent2" w:themeShade="BF"/>
              </w:rPr>
            </w:pPr>
            <w:r w:rsidRPr="007A7600">
              <w:rPr>
                <w:rFonts w:ascii="Arial" w:hAnsi="Arial" w:cs="Arial"/>
                <w:b/>
                <w:bCs/>
                <w:noProof/>
                <w:color w:val="C45911" w:themeColor="accent2" w:themeShade="BF"/>
              </w:rPr>
              <w:t xml:space="preserve">Lost Time Injury Frequency  </w:t>
            </w:r>
          </w:p>
          <w:p w14:paraId="05297142" w14:textId="77777777" w:rsidR="006536EE" w:rsidRPr="007A7600" w:rsidRDefault="006536EE" w:rsidP="006536EE">
            <w:pPr>
              <w:rPr>
                <w:rFonts w:ascii="Arial" w:hAnsi="Arial" w:cs="Arial"/>
                <w:b/>
                <w:bCs/>
                <w:noProof/>
                <w:color w:val="C45911" w:themeColor="accent2" w:themeShade="BF"/>
              </w:rPr>
            </w:pPr>
            <w:r w:rsidRPr="007A7600">
              <w:rPr>
                <w:rFonts w:ascii="Arial" w:hAnsi="Arial" w:cs="Arial"/>
                <w:b/>
                <w:bCs/>
                <w:noProof/>
                <w:color w:val="C45911" w:themeColor="accent2" w:themeShade="BF"/>
              </w:rPr>
              <w:t>Rate (LTIFR) (Number / 100k hrs)</w:t>
            </w:r>
          </w:p>
        </w:tc>
        <w:tc>
          <w:tcPr>
            <w:tcW w:w="1549" w:type="dxa"/>
            <w:tcBorders>
              <w:bottom w:val="single" w:sz="4" w:space="0" w:color="auto"/>
            </w:tcBorders>
            <w:vAlign w:val="center"/>
          </w:tcPr>
          <w:p w14:paraId="09FB7D66" w14:textId="48E89331" w:rsidR="006536EE" w:rsidRPr="004046E9" w:rsidRDefault="007B6C14" w:rsidP="004046E9">
            <w:pPr>
              <w:jc w:val="center"/>
              <w:rPr>
                <w:rFonts w:ascii="Arial" w:hAnsi="Arial" w:cs="Arial"/>
                <w:noProof/>
                <w:sz w:val="20"/>
                <w:szCs w:val="20"/>
              </w:rPr>
            </w:pPr>
            <w:r w:rsidRPr="004046E9">
              <w:rPr>
                <w:rFonts w:ascii="Arial" w:hAnsi="Arial" w:cs="Arial"/>
                <w:noProof/>
                <w:sz w:val="20"/>
                <w:szCs w:val="20"/>
              </w:rPr>
              <w:t>0.2</w:t>
            </w:r>
          </w:p>
        </w:tc>
        <w:tc>
          <w:tcPr>
            <w:tcW w:w="1549" w:type="dxa"/>
            <w:tcBorders>
              <w:bottom w:val="single" w:sz="4" w:space="0" w:color="auto"/>
            </w:tcBorders>
            <w:vAlign w:val="center"/>
          </w:tcPr>
          <w:p w14:paraId="10066EFA" w14:textId="2E54D076" w:rsidR="006536EE" w:rsidRPr="004046E9" w:rsidRDefault="00735AFD" w:rsidP="004046E9">
            <w:pPr>
              <w:jc w:val="center"/>
              <w:rPr>
                <w:rFonts w:ascii="Arial" w:hAnsi="Arial" w:cs="Arial"/>
                <w:noProof/>
                <w:sz w:val="20"/>
                <w:szCs w:val="20"/>
              </w:rPr>
            </w:pPr>
            <w:r w:rsidRPr="004046E9">
              <w:rPr>
                <w:rFonts w:ascii="Arial" w:hAnsi="Arial" w:cs="Arial"/>
                <w:noProof/>
                <w:sz w:val="20"/>
                <w:szCs w:val="20"/>
              </w:rPr>
              <w:t>0.1</w:t>
            </w:r>
            <w:r w:rsidR="004620B8" w:rsidRPr="004046E9">
              <w:rPr>
                <w:rFonts w:ascii="Arial" w:hAnsi="Arial" w:cs="Arial"/>
                <w:noProof/>
                <w:sz w:val="20"/>
                <w:szCs w:val="20"/>
              </w:rPr>
              <w:t>9</w:t>
            </w:r>
          </w:p>
        </w:tc>
        <w:tc>
          <w:tcPr>
            <w:tcW w:w="1549" w:type="dxa"/>
            <w:tcBorders>
              <w:bottom w:val="single" w:sz="4" w:space="0" w:color="auto"/>
            </w:tcBorders>
            <w:vAlign w:val="center"/>
          </w:tcPr>
          <w:p w14:paraId="617F7BEA" w14:textId="2746DB17" w:rsidR="006536EE" w:rsidRPr="004046E9" w:rsidRDefault="00735AFD" w:rsidP="004046E9">
            <w:pPr>
              <w:jc w:val="center"/>
              <w:rPr>
                <w:rFonts w:ascii="Arial" w:hAnsi="Arial" w:cs="Arial"/>
                <w:noProof/>
                <w:sz w:val="20"/>
                <w:szCs w:val="20"/>
              </w:rPr>
            </w:pPr>
            <w:r w:rsidRPr="004046E9">
              <w:rPr>
                <w:rFonts w:ascii="Arial" w:hAnsi="Arial" w:cs="Arial"/>
                <w:noProof/>
                <w:sz w:val="20"/>
                <w:szCs w:val="20"/>
              </w:rPr>
              <w:t>0.1</w:t>
            </w:r>
            <w:r w:rsidR="004620B8" w:rsidRPr="004046E9">
              <w:rPr>
                <w:rFonts w:ascii="Arial" w:hAnsi="Arial" w:cs="Arial"/>
                <w:noProof/>
                <w:sz w:val="20"/>
                <w:szCs w:val="20"/>
              </w:rPr>
              <w:t>7</w:t>
            </w:r>
          </w:p>
        </w:tc>
        <w:tc>
          <w:tcPr>
            <w:tcW w:w="1549" w:type="dxa"/>
            <w:tcBorders>
              <w:bottom w:val="single" w:sz="4" w:space="0" w:color="auto"/>
            </w:tcBorders>
            <w:vAlign w:val="center"/>
          </w:tcPr>
          <w:p w14:paraId="72C1B80A" w14:textId="6237D145" w:rsidR="006536EE" w:rsidRPr="004046E9" w:rsidRDefault="00735AFD" w:rsidP="004046E9">
            <w:pPr>
              <w:jc w:val="center"/>
              <w:rPr>
                <w:rFonts w:ascii="Arial" w:hAnsi="Arial" w:cs="Arial"/>
                <w:noProof/>
                <w:sz w:val="20"/>
                <w:szCs w:val="20"/>
              </w:rPr>
            </w:pPr>
            <w:r w:rsidRPr="004046E9">
              <w:rPr>
                <w:rFonts w:ascii="Arial" w:hAnsi="Arial" w:cs="Arial"/>
                <w:noProof/>
                <w:sz w:val="20"/>
                <w:szCs w:val="20"/>
              </w:rPr>
              <w:t>0.1</w:t>
            </w:r>
            <w:r w:rsidR="004620B8" w:rsidRPr="004046E9">
              <w:rPr>
                <w:rFonts w:ascii="Arial" w:hAnsi="Arial" w:cs="Arial"/>
                <w:noProof/>
                <w:sz w:val="20"/>
                <w:szCs w:val="20"/>
              </w:rPr>
              <w:t>5</w:t>
            </w:r>
          </w:p>
        </w:tc>
        <w:tc>
          <w:tcPr>
            <w:tcW w:w="1549" w:type="dxa"/>
            <w:tcBorders>
              <w:bottom w:val="single" w:sz="4" w:space="0" w:color="auto"/>
            </w:tcBorders>
            <w:shd w:val="clear" w:color="auto" w:fill="DEEAF6" w:themeFill="accent5" w:themeFillTint="33"/>
            <w:vAlign w:val="center"/>
          </w:tcPr>
          <w:p w14:paraId="4F5B4228" w14:textId="72ACBDEF" w:rsidR="006536EE" w:rsidRPr="004046E9" w:rsidRDefault="006536EE" w:rsidP="004046E9">
            <w:pPr>
              <w:jc w:val="center"/>
              <w:rPr>
                <w:rFonts w:ascii="Arial" w:hAnsi="Arial" w:cs="Arial"/>
                <w:noProof/>
                <w:sz w:val="20"/>
                <w:szCs w:val="20"/>
              </w:rPr>
            </w:pPr>
            <w:r w:rsidRPr="004046E9">
              <w:rPr>
                <w:rFonts w:ascii="Arial" w:hAnsi="Arial" w:cs="Arial"/>
                <w:noProof/>
                <w:sz w:val="20"/>
                <w:szCs w:val="20"/>
              </w:rPr>
              <w:t>0.13</w:t>
            </w:r>
          </w:p>
        </w:tc>
      </w:tr>
      <w:tr w:rsidR="0040016F" w:rsidRPr="007A7600" w14:paraId="129CC220" w14:textId="39105064" w:rsidTr="7D4D3DCD">
        <w:trPr>
          <w:trHeight w:val="518"/>
        </w:trPr>
        <w:tc>
          <w:tcPr>
            <w:tcW w:w="6470" w:type="dxa"/>
            <w:tcBorders>
              <w:top w:val="single" w:sz="4" w:space="0" w:color="auto"/>
              <w:bottom w:val="single" w:sz="4" w:space="0" w:color="auto"/>
            </w:tcBorders>
            <w:vAlign w:val="center"/>
          </w:tcPr>
          <w:p w14:paraId="52EFCAE1" w14:textId="77777777" w:rsidR="0040016F" w:rsidRPr="007A7600" w:rsidRDefault="0040016F" w:rsidP="0040016F">
            <w:pPr>
              <w:rPr>
                <w:rFonts w:ascii="Arial" w:hAnsi="Arial" w:cs="Arial"/>
                <w:b/>
                <w:bCs/>
                <w:noProof/>
                <w:color w:val="2F5496" w:themeColor="accent1" w:themeShade="BF"/>
              </w:rPr>
            </w:pPr>
            <w:r w:rsidRPr="007A7600">
              <w:rPr>
                <w:rFonts w:ascii="Arial" w:hAnsi="Arial" w:cs="Arial"/>
                <w:b/>
                <w:bCs/>
                <w:noProof/>
                <w:color w:val="2F5496" w:themeColor="accent1" w:themeShade="BF"/>
              </w:rPr>
              <w:t>ESG Rating (Sustainalytics)</w:t>
            </w:r>
          </w:p>
        </w:tc>
        <w:tc>
          <w:tcPr>
            <w:tcW w:w="1549" w:type="dxa"/>
            <w:tcBorders>
              <w:top w:val="single" w:sz="4" w:space="0" w:color="auto"/>
              <w:bottom w:val="single" w:sz="4" w:space="0" w:color="auto"/>
            </w:tcBorders>
            <w:vAlign w:val="center"/>
          </w:tcPr>
          <w:p w14:paraId="5446F0CE" w14:textId="4725C7B8" w:rsidR="0040016F" w:rsidRPr="004046E9" w:rsidRDefault="007D4DED" w:rsidP="004046E9">
            <w:pPr>
              <w:jc w:val="center"/>
              <w:rPr>
                <w:rFonts w:ascii="Arial" w:hAnsi="Arial" w:cs="Arial"/>
                <w:sz w:val="20"/>
                <w:szCs w:val="20"/>
              </w:rPr>
            </w:pPr>
            <w:r w:rsidRPr="004046E9">
              <w:rPr>
                <w:rFonts w:ascii="Arial" w:hAnsi="Arial" w:cs="Arial"/>
                <w:sz w:val="20"/>
                <w:szCs w:val="20"/>
              </w:rPr>
              <w:t>top 10</w:t>
            </w:r>
            <w:r w:rsidRPr="007D4DED">
              <w:rPr>
                <w:rFonts w:ascii="Arial" w:hAnsi="Arial" w:cs="Arial"/>
                <w:sz w:val="20"/>
                <w:szCs w:val="20"/>
                <w:vertAlign w:val="superscript"/>
              </w:rPr>
              <w:t>th</w:t>
            </w:r>
            <w:r>
              <w:rPr>
                <w:rFonts w:ascii="Arial" w:hAnsi="Arial" w:cs="Arial"/>
                <w:sz w:val="20"/>
                <w:szCs w:val="20"/>
              </w:rPr>
              <w:t xml:space="preserve"> </w:t>
            </w:r>
            <w:r w:rsidRPr="004046E9">
              <w:rPr>
                <w:rFonts w:ascii="Arial" w:hAnsi="Arial" w:cs="Arial"/>
                <w:sz w:val="20"/>
                <w:szCs w:val="20"/>
              </w:rPr>
              <w:t>percentile</w:t>
            </w:r>
          </w:p>
        </w:tc>
        <w:tc>
          <w:tcPr>
            <w:tcW w:w="1549" w:type="dxa"/>
            <w:tcBorders>
              <w:top w:val="single" w:sz="4" w:space="0" w:color="auto"/>
              <w:bottom w:val="single" w:sz="4" w:space="0" w:color="auto"/>
            </w:tcBorders>
            <w:vAlign w:val="center"/>
          </w:tcPr>
          <w:p w14:paraId="4090EB39" w14:textId="3C5A9D86" w:rsidR="0040016F" w:rsidRPr="004046E9" w:rsidRDefault="007D4DED" w:rsidP="004046E9">
            <w:pPr>
              <w:jc w:val="center"/>
              <w:rPr>
                <w:rFonts w:ascii="Arial" w:hAnsi="Arial" w:cs="Arial"/>
                <w:noProof/>
                <w:sz w:val="20"/>
                <w:szCs w:val="20"/>
              </w:rPr>
            </w:pPr>
            <w:r w:rsidRPr="004046E9">
              <w:rPr>
                <w:rFonts w:ascii="Arial" w:hAnsi="Arial" w:cs="Arial"/>
                <w:sz w:val="20"/>
                <w:szCs w:val="20"/>
              </w:rPr>
              <w:t>top 10</w:t>
            </w:r>
            <w:r w:rsidRPr="007D4DED">
              <w:rPr>
                <w:rFonts w:ascii="Arial" w:hAnsi="Arial" w:cs="Arial"/>
                <w:sz w:val="20"/>
                <w:szCs w:val="20"/>
                <w:vertAlign w:val="superscript"/>
              </w:rPr>
              <w:t>th</w:t>
            </w:r>
            <w:r>
              <w:rPr>
                <w:rFonts w:ascii="Arial" w:hAnsi="Arial" w:cs="Arial"/>
                <w:sz w:val="20"/>
                <w:szCs w:val="20"/>
              </w:rPr>
              <w:t xml:space="preserve"> </w:t>
            </w:r>
            <w:r w:rsidRPr="004046E9">
              <w:rPr>
                <w:rFonts w:ascii="Arial" w:hAnsi="Arial" w:cs="Arial"/>
                <w:sz w:val="20"/>
                <w:szCs w:val="20"/>
              </w:rPr>
              <w:t>percentile</w:t>
            </w:r>
          </w:p>
        </w:tc>
        <w:tc>
          <w:tcPr>
            <w:tcW w:w="1549" w:type="dxa"/>
            <w:tcBorders>
              <w:top w:val="single" w:sz="4" w:space="0" w:color="auto"/>
              <w:bottom w:val="single" w:sz="4" w:space="0" w:color="auto"/>
            </w:tcBorders>
            <w:vAlign w:val="center"/>
          </w:tcPr>
          <w:p w14:paraId="1262AB75" w14:textId="3DCAE2DE" w:rsidR="0040016F" w:rsidRPr="004046E9" w:rsidRDefault="007D4DED" w:rsidP="004046E9">
            <w:pPr>
              <w:jc w:val="center"/>
              <w:rPr>
                <w:rFonts w:ascii="Arial" w:hAnsi="Arial" w:cs="Arial"/>
                <w:noProof/>
                <w:sz w:val="20"/>
                <w:szCs w:val="20"/>
              </w:rPr>
            </w:pPr>
            <w:r w:rsidRPr="004046E9">
              <w:rPr>
                <w:rFonts w:ascii="Arial" w:hAnsi="Arial" w:cs="Arial"/>
                <w:sz w:val="20"/>
                <w:szCs w:val="20"/>
              </w:rPr>
              <w:t>top 10</w:t>
            </w:r>
            <w:r w:rsidRPr="007D4DED">
              <w:rPr>
                <w:rFonts w:ascii="Arial" w:hAnsi="Arial" w:cs="Arial"/>
                <w:sz w:val="20"/>
                <w:szCs w:val="20"/>
                <w:vertAlign w:val="superscript"/>
              </w:rPr>
              <w:t>th</w:t>
            </w:r>
            <w:r>
              <w:rPr>
                <w:rFonts w:ascii="Arial" w:hAnsi="Arial" w:cs="Arial"/>
                <w:sz w:val="20"/>
                <w:szCs w:val="20"/>
              </w:rPr>
              <w:t xml:space="preserve"> </w:t>
            </w:r>
            <w:r w:rsidRPr="004046E9">
              <w:rPr>
                <w:rFonts w:ascii="Arial" w:hAnsi="Arial" w:cs="Arial"/>
                <w:sz w:val="20"/>
                <w:szCs w:val="20"/>
              </w:rPr>
              <w:t>percentile</w:t>
            </w:r>
          </w:p>
        </w:tc>
        <w:tc>
          <w:tcPr>
            <w:tcW w:w="1549" w:type="dxa"/>
            <w:tcBorders>
              <w:top w:val="single" w:sz="4" w:space="0" w:color="auto"/>
              <w:bottom w:val="single" w:sz="4" w:space="0" w:color="auto"/>
            </w:tcBorders>
            <w:vAlign w:val="center"/>
          </w:tcPr>
          <w:p w14:paraId="6E586278" w14:textId="0EE0CB2A" w:rsidR="0040016F" w:rsidRPr="004046E9" w:rsidRDefault="0040016F" w:rsidP="004046E9">
            <w:pPr>
              <w:jc w:val="center"/>
              <w:rPr>
                <w:rFonts w:ascii="Arial" w:hAnsi="Arial" w:cs="Arial"/>
                <w:noProof/>
                <w:sz w:val="20"/>
                <w:szCs w:val="20"/>
              </w:rPr>
            </w:pPr>
            <w:r w:rsidRPr="004046E9">
              <w:rPr>
                <w:rFonts w:ascii="Arial" w:hAnsi="Arial" w:cs="Arial"/>
                <w:sz w:val="20"/>
                <w:szCs w:val="20"/>
              </w:rPr>
              <w:t>top 10</w:t>
            </w:r>
            <w:r w:rsidR="007D4DED" w:rsidRPr="007D4DED">
              <w:rPr>
                <w:rFonts w:ascii="Arial" w:hAnsi="Arial" w:cs="Arial"/>
                <w:sz w:val="20"/>
                <w:szCs w:val="20"/>
                <w:vertAlign w:val="superscript"/>
              </w:rPr>
              <w:t>th</w:t>
            </w:r>
            <w:r w:rsidR="007D4DED">
              <w:rPr>
                <w:rFonts w:ascii="Arial" w:hAnsi="Arial" w:cs="Arial"/>
                <w:sz w:val="20"/>
                <w:szCs w:val="20"/>
              </w:rPr>
              <w:t xml:space="preserve"> </w:t>
            </w:r>
            <w:r w:rsidRPr="004046E9">
              <w:rPr>
                <w:rFonts w:ascii="Arial" w:hAnsi="Arial" w:cs="Arial"/>
                <w:sz w:val="20"/>
                <w:szCs w:val="20"/>
              </w:rPr>
              <w:t>percentile</w:t>
            </w:r>
          </w:p>
        </w:tc>
        <w:tc>
          <w:tcPr>
            <w:tcW w:w="1549" w:type="dxa"/>
            <w:tcBorders>
              <w:top w:val="single" w:sz="4" w:space="0" w:color="auto"/>
              <w:bottom w:val="single" w:sz="4" w:space="0" w:color="auto"/>
            </w:tcBorders>
            <w:shd w:val="clear" w:color="auto" w:fill="DEEAF6" w:themeFill="accent5" w:themeFillTint="33"/>
            <w:vAlign w:val="center"/>
          </w:tcPr>
          <w:p w14:paraId="62A763B2" w14:textId="2B48035A" w:rsidR="0040016F" w:rsidRPr="004046E9" w:rsidRDefault="007D4DED" w:rsidP="004046E9">
            <w:pPr>
              <w:jc w:val="center"/>
              <w:rPr>
                <w:rFonts w:ascii="Arial" w:hAnsi="Arial" w:cs="Arial"/>
                <w:noProof/>
                <w:sz w:val="20"/>
                <w:szCs w:val="20"/>
              </w:rPr>
            </w:pPr>
            <w:r w:rsidRPr="004046E9">
              <w:rPr>
                <w:rFonts w:ascii="Arial" w:hAnsi="Arial" w:cs="Arial"/>
                <w:sz w:val="20"/>
                <w:szCs w:val="20"/>
              </w:rPr>
              <w:t>top 10</w:t>
            </w:r>
            <w:r w:rsidRPr="007D4DED">
              <w:rPr>
                <w:rFonts w:ascii="Arial" w:hAnsi="Arial" w:cs="Arial"/>
                <w:sz w:val="20"/>
                <w:szCs w:val="20"/>
                <w:vertAlign w:val="superscript"/>
              </w:rPr>
              <w:t>th</w:t>
            </w:r>
            <w:r>
              <w:rPr>
                <w:rFonts w:ascii="Arial" w:hAnsi="Arial" w:cs="Arial"/>
                <w:sz w:val="20"/>
                <w:szCs w:val="20"/>
              </w:rPr>
              <w:t xml:space="preserve"> </w:t>
            </w:r>
            <w:r w:rsidRPr="004046E9">
              <w:rPr>
                <w:rFonts w:ascii="Arial" w:hAnsi="Arial" w:cs="Arial"/>
                <w:sz w:val="20"/>
                <w:szCs w:val="20"/>
              </w:rPr>
              <w:t>percentile</w:t>
            </w:r>
          </w:p>
        </w:tc>
      </w:tr>
      <w:tr w:rsidR="009752B2" w:rsidRPr="007A7600" w14:paraId="4DA8D664" w14:textId="3DBF313E" w:rsidTr="7D4D3DCD">
        <w:trPr>
          <w:trHeight w:val="518"/>
        </w:trPr>
        <w:tc>
          <w:tcPr>
            <w:tcW w:w="6470" w:type="dxa"/>
            <w:vAlign w:val="center"/>
          </w:tcPr>
          <w:p w14:paraId="22D005FE" w14:textId="77777777" w:rsidR="009752B2" w:rsidRPr="007A7600" w:rsidRDefault="009752B2" w:rsidP="00924053">
            <w:pPr>
              <w:rPr>
                <w:rFonts w:ascii="Arial" w:hAnsi="Arial" w:cs="Arial"/>
                <w:b/>
                <w:bCs/>
                <w:noProof/>
                <w:color w:val="2F5496" w:themeColor="accent1" w:themeShade="BF"/>
              </w:rPr>
            </w:pPr>
            <w:r w:rsidRPr="007A7600">
              <w:rPr>
                <w:rFonts w:ascii="Arial" w:hAnsi="Arial" w:cs="Arial"/>
                <w:b/>
                <w:bCs/>
                <w:noProof/>
                <w:color w:val="2F5496" w:themeColor="accent1" w:themeShade="BF"/>
              </w:rPr>
              <w:t xml:space="preserve">Funding raised through Sustainable </w:t>
            </w:r>
          </w:p>
          <w:p w14:paraId="218295E0" w14:textId="77777777" w:rsidR="009752B2" w:rsidRPr="007A7600" w:rsidRDefault="009752B2" w:rsidP="00924053">
            <w:pPr>
              <w:rPr>
                <w:rFonts w:ascii="Arial" w:hAnsi="Arial" w:cs="Arial"/>
                <w:b/>
                <w:bCs/>
                <w:noProof/>
                <w:color w:val="2F5496" w:themeColor="accent1" w:themeShade="BF"/>
              </w:rPr>
            </w:pPr>
            <w:r w:rsidRPr="007A7600">
              <w:rPr>
                <w:rFonts w:ascii="Arial" w:hAnsi="Arial" w:cs="Arial"/>
                <w:b/>
                <w:bCs/>
                <w:noProof/>
                <w:color w:val="2F5496" w:themeColor="accent1" w:themeShade="BF"/>
              </w:rPr>
              <w:t>Financing Framework</w:t>
            </w:r>
          </w:p>
        </w:tc>
        <w:tc>
          <w:tcPr>
            <w:tcW w:w="1549" w:type="dxa"/>
            <w:vAlign w:val="center"/>
          </w:tcPr>
          <w:p w14:paraId="29BC797C" w14:textId="4D94B929" w:rsidR="009752B2" w:rsidRPr="004046E9" w:rsidRDefault="009752B2" w:rsidP="00924053">
            <w:pPr>
              <w:jc w:val="center"/>
              <w:rPr>
                <w:rFonts w:ascii="Arial" w:hAnsi="Arial" w:cs="Arial"/>
                <w:noProof/>
                <w:sz w:val="20"/>
                <w:szCs w:val="20"/>
              </w:rPr>
            </w:pPr>
            <w:r w:rsidRPr="004046E9">
              <w:rPr>
                <w:rFonts w:ascii="Arial" w:hAnsi="Arial" w:cs="Arial"/>
                <w:sz w:val="20"/>
                <w:szCs w:val="20"/>
              </w:rPr>
              <w:t>£400m</w:t>
            </w:r>
          </w:p>
        </w:tc>
        <w:tc>
          <w:tcPr>
            <w:tcW w:w="1549" w:type="dxa"/>
            <w:vAlign w:val="center"/>
          </w:tcPr>
          <w:p w14:paraId="3E8D4BFC" w14:textId="5D9025F2" w:rsidR="009752B2" w:rsidRPr="004046E9" w:rsidRDefault="009752B2" w:rsidP="00924053">
            <w:pPr>
              <w:spacing w:before="120"/>
              <w:jc w:val="center"/>
              <w:rPr>
                <w:rFonts w:ascii="Arial" w:hAnsi="Arial" w:cs="Arial"/>
                <w:noProof/>
                <w:sz w:val="20"/>
                <w:szCs w:val="20"/>
              </w:rPr>
            </w:pPr>
            <w:r w:rsidRPr="004046E9">
              <w:rPr>
                <w:rFonts w:ascii="Arial" w:hAnsi="Arial" w:cs="Arial"/>
                <w:sz w:val="20"/>
                <w:szCs w:val="20"/>
              </w:rPr>
              <w:t>£800m</w:t>
            </w:r>
          </w:p>
        </w:tc>
        <w:tc>
          <w:tcPr>
            <w:tcW w:w="1549" w:type="dxa"/>
            <w:vAlign w:val="center"/>
          </w:tcPr>
          <w:p w14:paraId="1B52874D" w14:textId="7E0C9CC3" w:rsidR="009752B2" w:rsidRPr="004046E9" w:rsidRDefault="009752B2" w:rsidP="00924053">
            <w:pPr>
              <w:spacing w:before="120"/>
              <w:jc w:val="center"/>
              <w:rPr>
                <w:rFonts w:ascii="Arial" w:hAnsi="Arial" w:cs="Arial"/>
                <w:noProof/>
                <w:sz w:val="20"/>
                <w:szCs w:val="20"/>
              </w:rPr>
            </w:pPr>
            <w:r w:rsidRPr="004046E9">
              <w:rPr>
                <w:rFonts w:ascii="Arial" w:hAnsi="Arial" w:cs="Arial"/>
                <w:sz w:val="20"/>
                <w:szCs w:val="20"/>
              </w:rPr>
              <w:t>£1.2bn</w:t>
            </w:r>
          </w:p>
        </w:tc>
        <w:tc>
          <w:tcPr>
            <w:tcW w:w="1549" w:type="dxa"/>
            <w:vAlign w:val="center"/>
          </w:tcPr>
          <w:p w14:paraId="481D466D" w14:textId="44E6DB9A" w:rsidR="009752B2" w:rsidRPr="004046E9" w:rsidRDefault="009752B2" w:rsidP="00924053">
            <w:pPr>
              <w:spacing w:before="120"/>
              <w:jc w:val="center"/>
              <w:rPr>
                <w:rFonts w:ascii="Arial" w:hAnsi="Arial" w:cs="Arial"/>
                <w:noProof/>
                <w:sz w:val="20"/>
                <w:szCs w:val="20"/>
              </w:rPr>
            </w:pPr>
            <w:r w:rsidRPr="004046E9">
              <w:rPr>
                <w:rFonts w:ascii="Arial" w:hAnsi="Arial" w:cs="Arial"/>
                <w:sz w:val="20"/>
                <w:szCs w:val="20"/>
              </w:rPr>
              <w:t>£1.6bn</w:t>
            </w:r>
          </w:p>
        </w:tc>
        <w:tc>
          <w:tcPr>
            <w:tcW w:w="1549" w:type="dxa"/>
            <w:shd w:val="clear" w:color="auto" w:fill="DEEAF6" w:themeFill="accent5" w:themeFillTint="33"/>
            <w:vAlign w:val="center"/>
          </w:tcPr>
          <w:p w14:paraId="224892A9" w14:textId="39C74329" w:rsidR="009752B2" w:rsidRPr="004046E9" w:rsidRDefault="009752B2" w:rsidP="00924053">
            <w:pPr>
              <w:spacing w:before="120"/>
              <w:jc w:val="center"/>
              <w:rPr>
                <w:rFonts w:ascii="Arial" w:hAnsi="Arial" w:cs="Arial"/>
                <w:noProof/>
                <w:sz w:val="20"/>
                <w:szCs w:val="20"/>
              </w:rPr>
            </w:pPr>
            <w:r w:rsidRPr="004046E9">
              <w:rPr>
                <w:rFonts w:ascii="Arial" w:hAnsi="Arial" w:cs="Arial"/>
                <w:sz w:val="20"/>
                <w:szCs w:val="20"/>
              </w:rPr>
              <w:t>£2bn</w:t>
            </w:r>
          </w:p>
        </w:tc>
      </w:tr>
      <w:tr w:rsidR="00725413" w:rsidRPr="007A7600" w14:paraId="12DDC825" w14:textId="010D8345" w:rsidTr="7D4D3DCD">
        <w:trPr>
          <w:trHeight w:val="518"/>
        </w:trPr>
        <w:tc>
          <w:tcPr>
            <w:tcW w:w="6470" w:type="dxa"/>
            <w:vAlign w:val="center"/>
          </w:tcPr>
          <w:p w14:paraId="61359DFB" w14:textId="77777777" w:rsidR="00725413" w:rsidRPr="007A7600" w:rsidRDefault="00725413" w:rsidP="00725413">
            <w:pPr>
              <w:rPr>
                <w:rFonts w:ascii="Arial" w:hAnsi="Arial" w:cs="Arial"/>
                <w:b/>
                <w:bCs/>
                <w:noProof/>
                <w:color w:val="2F5496" w:themeColor="accent1" w:themeShade="BF"/>
              </w:rPr>
            </w:pPr>
            <w:r w:rsidRPr="007A7600">
              <w:rPr>
                <w:rFonts w:ascii="Arial" w:hAnsi="Arial" w:cs="Arial"/>
                <w:b/>
                <w:bCs/>
                <w:noProof/>
                <w:color w:val="2F5496" w:themeColor="accent1" w:themeShade="BF"/>
              </w:rPr>
              <w:t xml:space="preserve">ESG Criteria included in % of  </w:t>
            </w:r>
          </w:p>
          <w:p w14:paraId="60FA9659" w14:textId="77777777" w:rsidR="00725413" w:rsidRPr="007A7600" w:rsidRDefault="00725413" w:rsidP="00725413">
            <w:pPr>
              <w:rPr>
                <w:rFonts w:ascii="Arial" w:hAnsi="Arial" w:cs="Arial"/>
                <w:b/>
                <w:bCs/>
                <w:noProof/>
                <w:color w:val="2F5496" w:themeColor="accent1" w:themeShade="BF"/>
              </w:rPr>
            </w:pPr>
            <w:r w:rsidRPr="007A7600">
              <w:rPr>
                <w:rFonts w:ascii="Arial" w:hAnsi="Arial" w:cs="Arial"/>
                <w:b/>
                <w:bCs/>
                <w:noProof/>
                <w:color w:val="2F5496" w:themeColor="accent1" w:themeShade="BF"/>
              </w:rPr>
              <w:t>Tender Evaluations</w:t>
            </w:r>
          </w:p>
        </w:tc>
        <w:tc>
          <w:tcPr>
            <w:tcW w:w="1549" w:type="dxa"/>
            <w:vAlign w:val="center"/>
          </w:tcPr>
          <w:p w14:paraId="0866D151" w14:textId="499D4CF3" w:rsidR="00725413" w:rsidRPr="004046E9" w:rsidRDefault="00725413" w:rsidP="004046E9">
            <w:pPr>
              <w:jc w:val="center"/>
              <w:rPr>
                <w:rFonts w:ascii="Arial" w:hAnsi="Arial" w:cs="Arial"/>
                <w:noProof/>
                <w:sz w:val="20"/>
                <w:szCs w:val="20"/>
              </w:rPr>
            </w:pPr>
            <w:r w:rsidRPr="004046E9">
              <w:rPr>
                <w:rFonts w:ascii="Arial" w:hAnsi="Arial" w:cs="Arial"/>
                <w:sz w:val="20"/>
                <w:szCs w:val="20"/>
              </w:rPr>
              <w:t>75</w:t>
            </w:r>
          </w:p>
        </w:tc>
        <w:tc>
          <w:tcPr>
            <w:tcW w:w="1549" w:type="dxa"/>
            <w:vAlign w:val="center"/>
          </w:tcPr>
          <w:p w14:paraId="6B78C300" w14:textId="329DE331" w:rsidR="00725413" w:rsidRPr="004046E9" w:rsidRDefault="00725413" w:rsidP="004046E9">
            <w:pPr>
              <w:jc w:val="center"/>
              <w:rPr>
                <w:rFonts w:ascii="Arial" w:hAnsi="Arial" w:cs="Arial"/>
                <w:noProof/>
                <w:sz w:val="20"/>
                <w:szCs w:val="20"/>
              </w:rPr>
            </w:pPr>
            <w:r w:rsidRPr="004046E9">
              <w:rPr>
                <w:rFonts w:ascii="Arial" w:hAnsi="Arial" w:cs="Arial"/>
                <w:sz w:val="20"/>
                <w:szCs w:val="20"/>
              </w:rPr>
              <w:t>80</w:t>
            </w:r>
          </w:p>
        </w:tc>
        <w:tc>
          <w:tcPr>
            <w:tcW w:w="1549" w:type="dxa"/>
            <w:vAlign w:val="center"/>
          </w:tcPr>
          <w:p w14:paraId="254C02A0" w14:textId="6E218B44" w:rsidR="00725413" w:rsidRPr="004046E9" w:rsidRDefault="00725413" w:rsidP="004046E9">
            <w:pPr>
              <w:jc w:val="center"/>
              <w:rPr>
                <w:rFonts w:ascii="Arial" w:hAnsi="Arial" w:cs="Arial"/>
                <w:noProof/>
                <w:sz w:val="20"/>
                <w:szCs w:val="20"/>
              </w:rPr>
            </w:pPr>
            <w:r w:rsidRPr="004046E9">
              <w:rPr>
                <w:rFonts w:ascii="Arial" w:hAnsi="Arial" w:cs="Arial"/>
                <w:sz w:val="20"/>
                <w:szCs w:val="20"/>
              </w:rPr>
              <w:t>85</w:t>
            </w:r>
          </w:p>
        </w:tc>
        <w:tc>
          <w:tcPr>
            <w:tcW w:w="1549" w:type="dxa"/>
            <w:vAlign w:val="center"/>
          </w:tcPr>
          <w:p w14:paraId="700D6CFE" w14:textId="17E89FF3" w:rsidR="00725413" w:rsidRPr="004046E9" w:rsidRDefault="00725413" w:rsidP="004046E9">
            <w:pPr>
              <w:jc w:val="center"/>
              <w:rPr>
                <w:rFonts w:ascii="Arial" w:hAnsi="Arial" w:cs="Arial"/>
                <w:noProof/>
                <w:sz w:val="20"/>
                <w:szCs w:val="20"/>
              </w:rPr>
            </w:pPr>
            <w:r w:rsidRPr="004046E9">
              <w:rPr>
                <w:rFonts w:ascii="Arial" w:hAnsi="Arial" w:cs="Arial"/>
                <w:sz w:val="20"/>
                <w:szCs w:val="20"/>
              </w:rPr>
              <w:t>90</w:t>
            </w:r>
          </w:p>
        </w:tc>
        <w:tc>
          <w:tcPr>
            <w:tcW w:w="1549" w:type="dxa"/>
            <w:shd w:val="clear" w:color="auto" w:fill="DEEAF6" w:themeFill="accent5" w:themeFillTint="33"/>
            <w:vAlign w:val="center"/>
          </w:tcPr>
          <w:p w14:paraId="6EA46BAD" w14:textId="6AEC970F" w:rsidR="00725413" w:rsidRPr="004046E9" w:rsidRDefault="00725413" w:rsidP="004046E9">
            <w:pPr>
              <w:jc w:val="center"/>
              <w:rPr>
                <w:rFonts w:ascii="Arial" w:hAnsi="Arial" w:cs="Arial"/>
                <w:noProof/>
                <w:sz w:val="20"/>
                <w:szCs w:val="20"/>
              </w:rPr>
            </w:pPr>
            <w:r w:rsidRPr="004046E9">
              <w:rPr>
                <w:rFonts w:ascii="Arial" w:hAnsi="Arial" w:cs="Arial"/>
                <w:sz w:val="20"/>
                <w:szCs w:val="20"/>
              </w:rPr>
              <w:t>100</w:t>
            </w:r>
          </w:p>
        </w:tc>
      </w:tr>
      <w:tr w:rsidR="00765F28" w:rsidRPr="007A7600" w14:paraId="7BD67376" w14:textId="38AFAEF5" w:rsidTr="7D4D3DCD">
        <w:trPr>
          <w:trHeight w:val="518"/>
        </w:trPr>
        <w:tc>
          <w:tcPr>
            <w:tcW w:w="6470" w:type="dxa"/>
            <w:vAlign w:val="center"/>
          </w:tcPr>
          <w:p w14:paraId="6153F1B5" w14:textId="77777777" w:rsidR="00765F28" w:rsidRPr="007A7600" w:rsidRDefault="00765F28" w:rsidP="00765F28">
            <w:pPr>
              <w:rPr>
                <w:rFonts w:ascii="Arial" w:hAnsi="Arial" w:cs="Arial"/>
                <w:b/>
                <w:bCs/>
                <w:noProof/>
                <w:color w:val="2F5496" w:themeColor="accent1" w:themeShade="BF"/>
              </w:rPr>
            </w:pPr>
            <w:r w:rsidRPr="007A7600">
              <w:rPr>
                <w:rFonts w:ascii="Arial" w:hAnsi="Arial" w:cs="Arial"/>
                <w:b/>
                <w:bCs/>
                <w:noProof/>
                <w:color w:val="2F5496" w:themeColor="accent1" w:themeShade="BF"/>
              </w:rPr>
              <w:t>Supply Chain Sustainability School Membership Grade</w:t>
            </w:r>
          </w:p>
        </w:tc>
        <w:tc>
          <w:tcPr>
            <w:tcW w:w="1549" w:type="dxa"/>
            <w:vAlign w:val="center"/>
          </w:tcPr>
          <w:p w14:paraId="6C6C846B" w14:textId="0048314C" w:rsidR="00765F28" w:rsidRPr="004046E9" w:rsidRDefault="00765F28" w:rsidP="004046E9">
            <w:pPr>
              <w:jc w:val="center"/>
              <w:rPr>
                <w:rFonts w:ascii="Arial" w:hAnsi="Arial" w:cs="Arial"/>
                <w:noProof/>
                <w:sz w:val="20"/>
                <w:szCs w:val="20"/>
              </w:rPr>
            </w:pPr>
            <w:r w:rsidRPr="004046E9">
              <w:rPr>
                <w:rFonts w:ascii="Arial" w:hAnsi="Arial" w:cs="Arial"/>
                <w:sz w:val="20"/>
                <w:szCs w:val="20"/>
              </w:rPr>
              <w:t>Silver</w:t>
            </w:r>
          </w:p>
        </w:tc>
        <w:tc>
          <w:tcPr>
            <w:tcW w:w="1549" w:type="dxa"/>
            <w:vAlign w:val="center"/>
          </w:tcPr>
          <w:p w14:paraId="1A20EAA5" w14:textId="6C97DCD1" w:rsidR="00765F28" w:rsidRPr="004046E9" w:rsidRDefault="00765F28" w:rsidP="004046E9">
            <w:pPr>
              <w:jc w:val="center"/>
              <w:rPr>
                <w:rFonts w:ascii="Arial" w:hAnsi="Arial" w:cs="Arial"/>
                <w:noProof/>
                <w:sz w:val="20"/>
                <w:szCs w:val="20"/>
              </w:rPr>
            </w:pPr>
            <w:r w:rsidRPr="004046E9">
              <w:rPr>
                <w:rFonts w:ascii="Arial" w:hAnsi="Arial" w:cs="Arial"/>
                <w:sz w:val="20"/>
                <w:szCs w:val="20"/>
              </w:rPr>
              <w:t>Silver</w:t>
            </w:r>
          </w:p>
        </w:tc>
        <w:tc>
          <w:tcPr>
            <w:tcW w:w="1549" w:type="dxa"/>
            <w:vAlign w:val="center"/>
          </w:tcPr>
          <w:p w14:paraId="69FE3FC5" w14:textId="18FF1E36" w:rsidR="00765F28" w:rsidRPr="004046E9" w:rsidRDefault="00765F28" w:rsidP="004046E9">
            <w:pPr>
              <w:jc w:val="center"/>
              <w:rPr>
                <w:rFonts w:ascii="Arial" w:hAnsi="Arial" w:cs="Arial"/>
                <w:noProof/>
                <w:sz w:val="20"/>
                <w:szCs w:val="20"/>
              </w:rPr>
            </w:pPr>
            <w:r w:rsidRPr="004046E9">
              <w:rPr>
                <w:rFonts w:ascii="Arial" w:hAnsi="Arial" w:cs="Arial"/>
                <w:sz w:val="20"/>
                <w:szCs w:val="20"/>
              </w:rPr>
              <w:t>Gold</w:t>
            </w:r>
          </w:p>
        </w:tc>
        <w:tc>
          <w:tcPr>
            <w:tcW w:w="1549" w:type="dxa"/>
            <w:vAlign w:val="center"/>
          </w:tcPr>
          <w:p w14:paraId="59E1683E" w14:textId="0E36CF38" w:rsidR="00765F28" w:rsidRPr="004046E9" w:rsidRDefault="00765F28" w:rsidP="004046E9">
            <w:pPr>
              <w:jc w:val="center"/>
              <w:rPr>
                <w:rFonts w:ascii="Arial" w:hAnsi="Arial" w:cs="Arial"/>
                <w:noProof/>
                <w:sz w:val="20"/>
                <w:szCs w:val="20"/>
              </w:rPr>
            </w:pPr>
            <w:r w:rsidRPr="004046E9">
              <w:rPr>
                <w:rFonts w:ascii="Arial" w:hAnsi="Arial" w:cs="Arial"/>
                <w:sz w:val="20"/>
                <w:szCs w:val="20"/>
              </w:rPr>
              <w:t>Gold</w:t>
            </w:r>
          </w:p>
        </w:tc>
        <w:tc>
          <w:tcPr>
            <w:tcW w:w="1549" w:type="dxa"/>
            <w:shd w:val="clear" w:color="auto" w:fill="DEEAF6" w:themeFill="accent5" w:themeFillTint="33"/>
            <w:vAlign w:val="center"/>
          </w:tcPr>
          <w:p w14:paraId="603B66E8" w14:textId="22FE98C4" w:rsidR="00765F28" w:rsidRPr="004046E9" w:rsidRDefault="00765F28" w:rsidP="004046E9">
            <w:pPr>
              <w:jc w:val="center"/>
              <w:rPr>
                <w:rFonts w:ascii="Arial" w:hAnsi="Arial" w:cs="Arial"/>
                <w:noProof/>
                <w:sz w:val="20"/>
                <w:szCs w:val="20"/>
              </w:rPr>
            </w:pPr>
            <w:r w:rsidRPr="004046E9">
              <w:rPr>
                <w:rFonts w:ascii="Arial" w:hAnsi="Arial" w:cs="Arial"/>
                <w:sz w:val="20"/>
                <w:szCs w:val="20"/>
              </w:rPr>
              <w:t>Gold</w:t>
            </w:r>
          </w:p>
        </w:tc>
      </w:tr>
    </w:tbl>
    <w:p w14:paraId="6C3C0A32" w14:textId="77777777" w:rsidR="00457866" w:rsidRPr="007A7600" w:rsidRDefault="00457866" w:rsidP="00847DE2">
      <w:pPr>
        <w:rPr>
          <w:rFonts w:ascii="Arial" w:hAnsi="Arial" w:cs="Arial"/>
          <w:b/>
          <w:bCs/>
          <w:noProof/>
          <w:color w:val="425563"/>
        </w:rPr>
      </w:pPr>
    </w:p>
    <w:sectPr w:rsidR="00457866" w:rsidRPr="007A7600" w:rsidSect="007436DD">
      <w:headerReference w:type="default" r:id="rId13"/>
      <w:footerReference w:type="even" r:id="rId14"/>
      <w:footerReference w:type="default" r:id="rId15"/>
      <w:footerReference w:type="first" r:id="rId16"/>
      <w:pgSz w:w="16838" w:h="11906" w:orient="landscape"/>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641BA" w14:textId="77777777" w:rsidR="00BD3756" w:rsidRDefault="00BD3756" w:rsidP="008B1BFA">
      <w:pPr>
        <w:spacing w:after="0" w:line="240" w:lineRule="auto"/>
      </w:pPr>
      <w:r>
        <w:separator/>
      </w:r>
    </w:p>
  </w:endnote>
  <w:endnote w:type="continuationSeparator" w:id="0">
    <w:p w14:paraId="6789C79F" w14:textId="77777777" w:rsidR="00BD3756" w:rsidRDefault="00BD3756" w:rsidP="008B1BFA">
      <w:pPr>
        <w:spacing w:after="0" w:line="240" w:lineRule="auto"/>
      </w:pPr>
      <w:r>
        <w:continuationSeparator/>
      </w:r>
    </w:p>
  </w:endnote>
  <w:endnote w:type="continuationNotice" w:id="1">
    <w:p w14:paraId="65B8980E" w14:textId="77777777" w:rsidR="00BD3756" w:rsidRDefault="00BD37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e Bold">
    <w:altName w:val="Calibri"/>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EA13" w14:textId="13FB2163" w:rsidR="00CF170E" w:rsidRDefault="00CF170E">
    <w:pPr>
      <w:pStyle w:val="Footer"/>
    </w:pPr>
    <w:r>
      <w:rPr>
        <w:noProof/>
      </w:rPr>
      <mc:AlternateContent>
        <mc:Choice Requires="wps">
          <w:drawing>
            <wp:anchor distT="0" distB="0" distL="0" distR="0" simplePos="0" relativeHeight="251658242" behindDoc="0" locked="0" layoutInCell="1" allowOverlap="1" wp14:anchorId="243C9D72" wp14:editId="49BF6F25">
              <wp:simplePos x="635" y="635"/>
              <wp:positionH relativeFrom="page">
                <wp:align>left</wp:align>
              </wp:positionH>
              <wp:positionV relativeFrom="page">
                <wp:align>bottom</wp:align>
              </wp:positionV>
              <wp:extent cx="443865" cy="443865"/>
              <wp:effectExtent l="0" t="0" r="12065" b="0"/>
              <wp:wrapNone/>
              <wp:docPr id="1743331589" name="Text Box 2" descr="Classification: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0B520E" w14:textId="2157CE3C" w:rsidR="00CF170E" w:rsidRPr="00CF170E" w:rsidRDefault="00CF170E" w:rsidP="00CF170E">
                          <w:pPr>
                            <w:spacing w:after="0"/>
                            <w:rPr>
                              <w:rFonts w:ascii="Calibri" w:eastAsia="Calibri" w:hAnsi="Calibri" w:cs="Calibri"/>
                              <w:noProof/>
                              <w:color w:val="000000"/>
                              <w:sz w:val="20"/>
                              <w:szCs w:val="20"/>
                            </w:rPr>
                          </w:pPr>
                          <w:r w:rsidRPr="00CF170E">
                            <w:rPr>
                              <w:rFonts w:ascii="Calibri" w:eastAsia="Calibri" w:hAnsi="Calibri" w:cs="Calibri"/>
                              <w:noProof/>
                              <w:color w:val="000000"/>
                              <w:sz w:val="20"/>
                              <w:szCs w:val="20"/>
                            </w:rPr>
                            <w:t>Classification: BUSINESS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43C9D72">
              <v:stroke joinstyle="miter"/>
              <v:path gradientshapeok="t" o:connecttype="rect"/>
            </v:shapetype>
            <v:shape id="Text Box 2"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alt="Classification: BUSINESS"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textbox style="mso-fit-shape-to-text:t" inset="20pt,0,0,15pt">
                <w:txbxContent>
                  <w:p w:rsidRPr="00CF170E" w:rsidR="00CF170E" w:rsidP="00CF170E" w:rsidRDefault="00CF170E" w14:paraId="640B520E" w14:textId="2157CE3C">
                    <w:pPr>
                      <w:spacing w:after="0"/>
                      <w:rPr>
                        <w:rFonts w:ascii="Calibri" w:hAnsi="Calibri" w:eastAsia="Calibri" w:cs="Calibri"/>
                        <w:noProof/>
                        <w:color w:val="000000"/>
                        <w:sz w:val="20"/>
                        <w:szCs w:val="20"/>
                      </w:rPr>
                    </w:pPr>
                    <w:r w:rsidRPr="00CF170E">
                      <w:rPr>
                        <w:rFonts w:ascii="Calibri" w:hAnsi="Calibri" w:eastAsia="Calibri" w:cs="Calibri"/>
                        <w:noProof/>
                        <w:color w:val="000000"/>
                        <w:sz w:val="20"/>
                        <w:szCs w:val="20"/>
                      </w:rPr>
                      <w:t>Classification: BUSINESS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4D62" w14:textId="391F52AA" w:rsidR="008847C3" w:rsidRDefault="00CF170E">
    <w:pPr>
      <w:pStyle w:val="Footer"/>
      <w:jc w:val="right"/>
    </w:pPr>
    <w:r>
      <w:rPr>
        <w:noProof/>
      </w:rPr>
      <mc:AlternateContent>
        <mc:Choice Requires="wps">
          <w:drawing>
            <wp:anchor distT="0" distB="0" distL="0" distR="0" simplePos="0" relativeHeight="251658243" behindDoc="0" locked="0" layoutInCell="1" allowOverlap="1" wp14:anchorId="01B31E6D" wp14:editId="2BEE2255">
              <wp:simplePos x="914400" y="6769100"/>
              <wp:positionH relativeFrom="page">
                <wp:align>left</wp:align>
              </wp:positionH>
              <wp:positionV relativeFrom="page">
                <wp:align>bottom</wp:align>
              </wp:positionV>
              <wp:extent cx="443865" cy="443865"/>
              <wp:effectExtent l="0" t="0" r="12065" b="0"/>
              <wp:wrapNone/>
              <wp:docPr id="1161115333" name="Text Box 3" descr="Classification: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2EE0D3" w14:textId="3873C0F7" w:rsidR="00CF170E" w:rsidRPr="00CF170E" w:rsidRDefault="00CF170E" w:rsidP="00CF170E">
                          <w:pPr>
                            <w:spacing w:after="0"/>
                            <w:rPr>
                              <w:rFonts w:ascii="Calibri" w:eastAsia="Calibri" w:hAnsi="Calibri" w:cs="Calibri"/>
                              <w:noProof/>
                              <w:color w:val="000000"/>
                              <w:sz w:val="20"/>
                              <w:szCs w:val="20"/>
                            </w:rPr>
                          </w:pPr>
                          <w:r w:rsidRPr="00CF170E">
                            <w:rPr>
                              <w:rFonts w:ascii="Calibri" w:eastAsia="Calibri" w:hAnsi="Calibri" w:cs="Calibri"/>
                              <w:noProof/>
                              <w:color w:val="000000"/>
                              <w:sz w:val="20"/>
                              <w:szCs w:val="20"/>
                            </w:rPr>
                            <w:t>Classification: BUSINESS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1B31E6D">
              <v:stroke joinstyle="miter"/>
              <v:path gradientshapeok="t" o:connecttype="rect"/>
            </v:shapetype>
            <v:shape id="Text Box 3" style="position:absolute;left:0;text-align:left;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alt="Classification: BUSINESS"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textbox style="mso-fit-shape-to-text:t" inset="20pt,0,0,15pt">
                <w:txbxContent>
                  <w:p w:rsidRPr="00CF170E" w:rsidR="00CF170E" w:rsidP="00CF170E" w:rsidRDefault="00CF170E" w14:paraId="032EE0D3" w14:textId="3873C0F7">
                    <w:pPr>
                      <w:spacing w:after="0"/>
                      <w:rPr>
                        <w:rFonts w:ascii="Calibri" w:hAnsi="Calibri" w:eastAsia="Calibri" w:cs="Calibri"/>
                        <w:noProof/>
                        <w:color w:val="000000"/>
                        <w:sz w:val="20"/>
                        <w:szCs w:val="20"/>
                      </w:rPr>
                    </w:pPr>
                    <w:r w:rsidRPr="00CF170E">
                      <w:rPr>
                        <w:rFonts w:ascii="Calibri" w:hAnsi="Calibri" w:eastAsia="Calibri" w:cs="Calibri"/>
                        <w:noProof/>
                        <w:color w:val="000000"/>
                        <w:sz w:val="20"/>
                        <w:szCs w:val="20"/>
                      </w:rPr>
                      <w:t>Classification: BUSINESS</w:t>
                    </w:r>
                  </w:p>
                </w:txbxContent>
              </v:textbox>
              <w10:wrap anchorx="page" anchory="page"/>
            </v:shape>
          </w:pict>
        </mc:Fallback>
      </mc:AlternateContent>
    </w:r>
    <w:sdt>
      <w:sdtPr>
        <w:id w:val="-1770382086"/>
        <w:docPartObj>
          <w:docPartGallery w:val="Page Numbers (Bottom of Page)"/>
          <w:docPartUnique/>
        </w:docPartObj>
      </w:sdtPr>
      <w:sdtEndPr>
        <w:rPr>
          <w:noProof/>
        </w:rPr>
      </w:sdtEndPr>
      <w:sdtContent>
        <w:r w:rsidR="008847C3">
          <w:fldChar w:fldCharType="begin"/>
        </w:r>
        <w:r w:rsidR="008847C3">
          <w:instrText xml:space="preserve"> PAGE   \* MERGEFORMAT </w:instrText>
        </w:r>
        <w:r w:rsidR="008847C3">
          <w:fldChar w:fldCharType="separate"/>
        </w:r>
        <w:r w:rsidR="008847C3">
          <w:rPr>
            <w:noProof/>
          </w:rPr>
          <w:t>2</w:t>
        </w:r>
        <w:r w:rsidR="008847C3">
          <w:rPr>
            <w:noProof/>
          </w:rPr>
          <w:fldChar w:fldCharType="end"/>
        </w:r>
      </w:sdtContent>
    </w:sdt>
  </w:p>
  <w:p w14:paraId="6417ED2C" w14:textId="77777777" w:rsidR="008847C3" w:rsidRDefault="00884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90D6" w14:textId="7B32A178" w:rsidR="00CF170E" w:rsidRDefault="00CF170E">
    <w:pPr>
      <w:pStyle w:val="Footer"/>
    </w:pPr>
    <w:r>
      <w:rPr>
        <w:noProof/>
      </w:rPr>
      <mc:AlternateContent>
        <mc:Choice Requires="wps">
          <w:drawing>
            <wp:anchor distT="0" distB="0" distL="0" distR="0" simplePos="0" relativeHeight="251658241" behindDoc="0" locked="0" layoutInCell="1" allowOverlap="1" wp14:anchorId="60696B75" wp14:editId="74D763E3">
              <wp:simplePos x="635" y="635"/>
              <wp:positionH relativeFrom="page">
                <wp:align>left</wp:align>
              </wp:positionH>
              <wp:positionV relativeFrom="page">
                <wp:align>bottom</wp:align>
              </wp:positionV>
              <wp:extent cx="443865" cy="443865"/>
              <wp:effectExtent l="0" t="0" r="12065" b="0"/>
              <wp:wrapNone/>
              <wp:docPr id="2094966384" name="Text Box 1" descr="Classification: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F69D62" w14:textId="4D0091C4" w:rsidR="00CF170E" w:rsidRPr="00CF170E" w:rsidRDefault="00CF170E" w:rsidP="00CF170E">
                          <w:pPr>
                            <w:spacing w:after="0"/>
                            <w:rPr>
                              <w:rFonts w:ascii="Calibri" w:eastAsia="Calibri" w:hAnsi="Calibri" w:cs="Calibri"/>
                              <w:noProof/>
                              <w:color w:val="000000"/>
                              <w:sz w:val="20"/>
                              <w:szCs w:val="20"/>
                            </w:rPr>
                          </w:pPr>
                          <w:r w:rsidRPr="00CF170E">
                            <w:rPr>
                              <w:rFonts w:ascii="Calibri" w:eastAsia="Calibri" w:hAnsi="Calibri" w:cs="Calibri"/>
                              <w:noProof/>
                              <w:color w:val="000000"/>
                              <w:sz w:val="20"/>
                              <w:szCs w:val="20"/>
                            </w:rPr>
                            <w:t>Classification: BUSINESS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0696B75">
              <v:stroke joinstyle="miter"/>
              <v:path gradientshapeok="t" o:connecttype="rect"/>
            </v:shapetype>
            <v:shape id="Text Box 1"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alt="Classification: BUSINESS"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textbox style="mso-fit-shape-to-text:t" inset="20pt,0,0,15pt">
                <w:txbxContent>
                  <w:p w:rsidRPr="00CF170E" w:rsidR="00CF170E" w:rsidP="00CF170E" w:rsidRDefault="00CF170E" w14:paraId="61F69D62" w14:textId="4D0091C4">
                    <w:pPr>
                      <w:spacing w:after="0"/>
                      <w:rPr>
                        <w:rFonts w:ascii="Calibri" w:hAnsi="Calibri" w:eastAsia="Calibri" w:cs="Calibri"/>
                        <w:noProof/>
                        <w:color w:val="000000"/>
                        <w:sz w:val="20"/>
                        <w:szCs w:val="20"/>
                      </w:rPr>
                    </w:pPr>
                    <w:r w:rsidRPr="00CF170E">
                      <w:rPr>
                        <w:rFonts w:ascii="Calibri" w:hAnsi="Calibri" w:eastAsia="Calibri" w:cs="Calibri"/>
                        <w:noProof/>
                        <w:color w:val="000000"/>
                        <w:sz w:val="20"/>
                        <w:szCs w:val="20"/>
                      </w:rPr>
                      <w:t>Classification: BUSINESS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85D70" w14:textId="77777777" w:rsidR="00BD3756" w:rsidRDefault="00BD3756" w:rsidP="008B1BFA">
      <w:pPr>
        <w:spacing w:after="0" w:line="240" w:lineRule="auto"/>
      </w:pPr>
      <w:r>
        <w:separator/>
      </w:r>
    </w:p>
  </w:footnote>
  <w:footnote w:type="continuationSeparator" w:id="0">
    <w:p w14:paraId="008226C0" w14:textId="77777777" w:rsidR="00BD3756" w:rsidRDefault="00BD3756" w:rsidP="008B1BFA">
      <w:pPr>
        <w:spacing w:after="0" w:line="240" w:lineRule="auto"/>
      </w:pPr>
      <w:r>
        <w:continuationSeparator/>
      </w:r>
    </w:p>
  </w:footnote>
  <w:footnote w:type="continuationNotice" w:id="1">
    <w:p w14:paraId="742152DB" w14:textId="77777777" w:rsidR="00BD3756" w:rsidRDefault="00BD37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EDA5" w14:textId="09E43AFD" w:rsidR="008B1BFA" w:rsidRPr="008B1BFA" w:rsidRDefault="00A94C3C" w:rsidP="008B1BFA">
    <w:pPr>
      <w:rPr>
        <w:sz w:val="20"/>
        <w:szCs w:val="20"/>
      </w:rPr>
    </w:pPr>
    <w:r>
      <w:rPr>
        <w:noProof/>
        <w:sz w:val="20"/>
        <w:szCs w:val="20"/>
      </w:rPr>
      <w:drawing>
        <wp:anchor distT="0" distB="0" distL="114300" distR="114300" simplePos="0" relativeHeight="251658240" behindDoc="0" locked="0" layoutInCell="1" allowOverlap="1" wp14:anchorId="38D36601" wp14:editId="7EF957E8">
          <wp:simplePos x="0" y="0"/>
          <wp:positionH relativeFrom="column">
            <wp:posOffset>8114030</wp:posOffset>
          </wp:positionH>
          <wp:positionV relativeFrom="paragraph">
            <wp:posOffset>-264486</wp:posOffset>
          </wp:positionV>
          <wp:extent cx="1492885" cy="601980"/>
          <wp:effectExtent l="0" t="0" r="0" b="76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885" cy="601980"/>
                  </a:xfrm>
                  <a:prstGeom prst="rect">
                    <a:avLst/>
                  </a:prstGeom>
                  <a:noFill/>
                </pic:spPr>
              </pic:pic>
            </a:graphicData>
          </a:graphic>
          <wp14:sizeRelH relativeFrom="margin">
            <wp14:pctWidth>0</wp14:pctWidth>
          </wp14:sizeRelH>
          <wp14:sizeRelV relativeFrom="margin">
            <wp14:pctHeight>0</wp14:pctHeight>
          </wp14:sizeRelV>
        </wp:anchor>
      </w:drawing>
    </w:r>
    <w:r w:rsidR="008B1BFA" w:rsidRPr="008B1BFA">
      <w:rPr>
        <w:sz w:val="20"/>
        <w:szCs w:val="20"/>
      </w:rPr>
      <w:t xml:space="preserve"> </w:t>
    </w:r>
  </w:p>
  <w:p w14:paraId="149F25D7" w14:textId="77777777" w:rsidR="008B1BFA" w:rsidRDefault="008B1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F522F"/>
    <w:multiLevelType w:val="hybridMultilevel"/>
    <w:tmpl w:val="17A8F0E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A193834"/>
    <w:multiLevelType w:val="hybridMultilevel"/>
    <w:tmpl w:val="E006C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8D7901"/>
    <w:multiLevelType w:val="hybridMultilevel"/>
    <w:tmpl w:val="45D09628"/>
    <w:lvl w:ilvl="0" w:tplc="1026C648">
      <w:start w:val="1"/>
      <w:numFmt w:val="decimal"/>
      <w:lvlText w:val="%1."/>
      <w:lvlJc w:val="left"/>
      <w:pPr>
        <w:ind w:left="720" w:hanging="360"/>
      </w:pPr>
      <w:rPr>
        <w:rFonts w:hint="default"/>
        <w:b w:val="0"/>
        <w:bCs w:val="0"/>
        <w:color w:val="00206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867925"/>
    <w:multiLevelType w:val="hybridMultilevel"/>
    <w:tmpl w:val="45D09628"/>
    <w:lvl w:ilvl="0" w:tplc="1026C648">
      <w:start w:val="1"/>
      <w:numFmt w:val="decimal"/>
      <w:lvlText w:val="%1."/>
      <w:lvlJc w:val="left"/>
      <w:pPr>
        <w:ind w:left="720" w:hanging="360"/>
      </w:pPr>
      <w:rPr>
        <w:rFonts w:hint="default"/>
        <w:b w:val="0"/>
        <w:bCs w:val="0"/>
        <w:color w:val="00206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E64A69"/>
    <w:multiLevelType w:val="hybridMultilevel"/>
    <w:tmpl w:val="B4B04D58"/>
    <w:lvl w:ilvl="0" w:tplc="0A0CAC08">
      <w:start w:val="1"/>
      <w:numFmt w:val="bullet"/>
      <w:lvlText w:val=""/>
      <w:lvlJc w:val="left"/>
      <w:pPr>
        <w:ind w:left="1069"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637876">
    <w:abstractNumId w:val="1"/>
  </w:num>
  <w:num w:numId="2" w16cid:durableId="946037984">
    <w:abstractNumId w:val="1"/>
  </w:num>
  <w:num w:numId="3" w16cid:durableId="193232161">
    <w:abstractNumId w:val="0"/>
  </w:num>
  <w:num w:numId="4" w16cid:durableId="241719568">
    <w:abstractNumId w:val="4"/>
  </w:num>
  <w:num w:numId="5" w16cid:durableId="1888908105">
    <w:abstractNumId w:val="2"/>
  </w:num>
  <w:num w:numId="6" w16cid:durableId="1032074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88"/>
    <w:rsid w:val="00006F0B"/>
    <w:rsid w:val="00011411"/>
    <w:rsid w:val="00027484"/>
    <w:rsid w:val="00030A37"/>
    <w:rsid w:val="000367D5"/>
    <w:rsid w:val="00042EE4"/>
    <w:rsid w:val="00050040"/>
    <w:rsid w:val="00054EA4"/>
    <w:rsid w:val="00057CA5"/>
    <w:rsid w:val="000801D2"/>
    <w:rsid w:val="000813F6"/>
    <w:rsid w:val="00083E1A"/>
    <w:rsid w:val="00091251"/>
    <w:rsid w:val="0009249C"/>
    <w:rsid w:val="00092589"/>
    <w:rsid w:val="000C0A24"/>
    <w:rsid w:val="000C65AB"/>
    <w:rsid w:val="000D13F5"/>
    <w:rsid w:val="000D37AB"/>
    <w:rsid w:val="000D50CE"/>
    <w:rsid w:val="000E2015"/>
    <w:rsid w:val="000F5693"/>
    <w:rsid w:val="000F5B29"/>
    <w:rsid w:val="000F69CE"/>
    <w:rsid w:val="0012551C"/>
    <w:rsid w:val="00142349"/>
    <w:rsid w:val="0014757C"/>
    <w:rsid w:val="00151F87"/>
    <w:rsid w:val="00155CFB"/>
    <w:rsid w:val="001819E3"/>
    <w:rsid w:val="0018505A"/>
    <w:rsid w:val="00185636"/>
    <w:rsid w:val="00185AEB"/>
    <w:rsid w:val="00191845"/>
    <w:rsid w:val="001C24F2"/>
    <w:rsid w:val="001D09A9"/>
    <w:rsid w:val="001D5752"/>
    <w:rsid w:val="00201AB6"/>
    <w:rsid w:val="00201E7A"/>
    <w:rsid w:val="00203580"/>
    <w:rsid w:val="00254D77"/>
    <w:rsid w:val="00263FF3"/>
    <w:rsid w:val="00264A55"/>
    <w:rsid w:val="00266DF1"/>
    <w:rsid w:val="00273267"/>
    <w:rsid w:val="00276194"/>
    <w:rsid w:val="002826F8"/>
    <w:rsid w:val="0029277C"/>
    <w:rsid w:val="002E046D"/>
    <w:rsid w:val="002E0C47"/>
    <w:rsid w:val="002E18E7"/>
    <w:rsid w:val="002F1D04"/>
    <w:rsid w:val="00316419"/>
    <w:rsid w:val="00317FB0"/>
    <w:rsid w:val="003254C4"/>
    <w:rsid w:val="0033270C"/>
    <w:rsid w:val="00334EC8"/>
    <w:rsid w:val="0034394F"/>
    <w:rsid w:val="0035363E"/>
    <w:rsid w:val="00357E8E"/>
    <w:rsid w:val="00361352"/>
    <w:rsid w:val="003668E8"/>
    <w:rsid w:val="0037070A"/>
    <w:rsid w:val="00374B85"/>
    <w:rsid w:val="00375468"/>
    <w:rsid w:val="0037739D"/>
    <w:rsid w:val="0039244B"/>
    <w:rsid w:val="003B0CA5"/>
    <w:rsid w:val="003B2BE3"/>
    <w:rsid w:val="003B6018"/>
    <w:rsid w:val="003C28B9"/>
    <w:rsid w:val="003C3E7B"/>
    <w:rsid w:val="003E48B4"/>
    <w:rsid w:val="003E5A0D"/>
    <w:rsid w:val="003F475E"/>
    <w:rsid w:val="003F750F"/>
    <w:rsid w:val="0040016F"/>
    <w:rsid w:val="00402FEF"/>
    <w:rsid w:val="004046E9"/>
    <w:rsid w:val="00404FBE"/>
    <w:rsid w:val="0041048A"/>
    <w:rsid w:val="004113B0"/>
    <w:rsid w:val="0041341C"/>
    <w:rsid w:val="00457866"/>
    <w:rsid w:val="004620B8"/>
    <w:rsid w:val="0048215B"/>
    <w:rsid w:val="004A4C0A"/>
    <w:rsid w:val="004A7CF2"/>
    <w:rsid w:val="004D2A80"/>
    <w:rsid w:val="004E0D81"/>
    <w:rsid w:val="004E4FE6"/>
    <w:rsid w:val="004E6F78"/>
    <w:rsid w:val="004F17F6"/>
    <w:rsid w:val="004F496A"/>
    <w:rsid w:val="004F7F97"/>
    <w:rsid w:val="00504BF3"/>
    <w:rsid w:val="00526B16"/>
    <w:rsid w:val="005451FE"/>
    <w:rsid w:val="00551EBF"/>
    <w:rsid w:val="0055213D"/>
    <w:rsid w:val="00566CBF"/>
    <w:rsid w:val="00586244"/>
    <w:rsid w:val="00592C0E"/>
    <w:rsid w:val="005A2917"/>
    <w:rsid w:val="005A6945"/>
    <w:rsid w:val="005D3C88"/>
    <w:rsid w:val="005E2884"/>
    <w:rsid w:val="005E74E6"/>
    <w:rsid w:val="005E7B39"/>
    <w:rsid w:val="0061347E"/>
    <w:rsid w:val="00614BA2"/>
    <w:rsid w:val="00624A75"/>
    <w:rsid w:val="00635790"/>
    <w:rsid w:val="006536EE"/>
    <w:rsid w:val="00655C83"/>
    <w:rsid w:val="006635DB"/>
    <w:rsid w:val="006718FE"/>
    <w:rsid w:val="0068070D"/>
    <w:rsid w:val="0068729A"/>
    <w:rsid w:val="00697938"/>
    <w:rsid w:val="006A3ED0"/>
    <w:rsid w:val="006B25C4"/>
    <w:rsid w:val="006F533C"/>
    <w:rsid w:val="006F7E25"/>
    <w:rsid w:val="00703161"/>
    <w:rsid w:val="00705C9B"/>
    <w:rsid w:val="00713051"/>
    <w:rsid w:val="00725413"/>
    <w:rsid w:val="00735AFD"/>
    <w:rsid w:val="00741B63"/>
    <w:rsid w:val="007436DD"/>
    <w:rsid w:val="007539E2"/>
    <w:rsid w:val="00754A81"/>
    <w:rsid w:val="00765F28"/>
    <w:rsid w:val="0077324D"/>
    <w:rsid w:val="0077487B"/>
    <w:rsid w:val="0078288D"/>
    <w:rsid w:val="0079724D"/>
    <w:rsid w:val="007973C1"/>
    <w:rsid w:val="007A1D6A"/>
    <w:rsid w:val="007A7600"/>
    <w:rsid w:val="007B6C14"/>
    <w:rsid w:val="007C3BEA"/>
    <w:rsid w:val="007D2C34"/>
    <w:rsid w:val="007D4DED"/>
    <w:rsid w:val="007D4EDB"/>
    <w:rsid w:val="007E7DC9"/>
    <w:rsid w:val="007F4800"/>
    <w:rsid w:val="00815390"/>
    <w:rsid w:val="00815522"/>
    <w:rsid w:val="0082143E"/>
    <w:rsid w:val="00830EAB"/>
    <w:rsid w:val="008376D2"/>
    <w:rsid w:val="00847DE2"/>
    <w:rsid w:val="008551E2"/>
    <w:rsid w:val="00856325"/>
    <w:rsid w:val="008812EC"/>
    <w:rsid w:val="008847C3"/>
    <w:rsid w:val="00890934"/>
    <w:rsid w:val="00892230"/>
    <w:rsid w:val="00892A48"/>
    <w:rsid w:val="00892D44"/>
    <w:rsid w:val="008B035D"/>
    <w:rsid w:val="008B1BFA"/>
    <w:rsid w:val="008E5192"/>
    <w:rsid w:val="008F07EF"/>
    <w:rsid w:val="008F5D53"/>
    <w:rsid w:val="00912BF3"/>
    <w:rsid w:val="00924053"/>
    <w:rsid w:val="00952CAB"/>
    <w:rsid w:val="00965922"/>
    <w:rsid w:val="0097512A"/>
    <w:rsid w:val="009752B2"/>
    <w:rsid w:val="00987645"/>
    <w:rsid w:val="009955FE"/>
    <w:rsid w:val="009B311E"/>
    <w:rsid w:val="009B35DD"/>
    <w:rsid w:val="009C07ED"/>
    <w:rsid w:val="009C2F72"/>
    <w:rsid w:val="009D5A86"/>
    <w:rsid w:val="00A134D9"/>
    <w:rsid w:val="00A1506B"/>
    <w:rsid w:val="00A20427"/>
    <w:rsid w:val="00A21786"/>
    <w:rsid w:val="00A374E2"/>
    <w:rsid w:val="00A50727"/>
    <w:rsid w:val="00A61BDE"/>
    <w:rsid w:val="00A67AF5"/>
    <w:rsid w:val="00A94C3C"/>
    <w:rsid w:val="00AE02A0"/>
    <w:rsid w:val="00AE61B5"/>
    <w:rsid w:val="00B178E1"/>
    <w:rsid w:val="00B24719"/>
    <w:rsid w:val="00B338B5"/>
    <w:rsid w:val="00B3741C"/>
    <w:rsid w:val="00B45093"/>
    <w:rsid w:val="00B50C3B"/>
    <w:rsid w:val="00B71EF8"/>
    <w:rsid w:val="00B74DE6"/>
    <w:rsid w:val="00B765A9"/>
    <w:rsid w:val="00B9406F"/>
    <w:rsid w:val="00BA19EF"/>
    <w:rsid w:val="00BB062F"/>
    <w:rsid w:val="00BB51E8"/>
    <w:rsid w:val="00BC1114"/>
    <w:rsid w:val="00BD3756"/>
    <w:rsid w:val="00BE1452"/>
    <w:rsid w:val="00C00702"/>
    <w:rsid w:val="00C070AE"/>
    <w:rsid w:val="00C079F8"/>
    <w:rsid w:val="00C16521"/>
    <w:rsid w:val="00C246A7"/>
    <w:rsid w:val="00C44B29"/>
    <w:rsid w:val="00C46570"/>
    <w:rsid w:val="00C60781"/>
    <w:rsid w:val="00C73F92"/>
    <w:rsid w:val="00C813A6"/>
    <w:rsid w:val="00C879CD"/>
    <w:rsid w:val="00C93F5D"/>
    <w:rsid w:val="00CA2669"/>
    <w:rsid w:val="00CC1736"/>
    <w:rsid w:val="00CC37C8"/>
    <w:rsid w:val="00CC5703"/>
    <w:rsid w:val="00CE0FF9"/>
    <w:rsid w:val="00CF170E"/>
    <w:rsid w:val="00D27D3D"/>
    <w:rsid w:val="00D373EC"/>
    <w:rsid w:val="00D71ABB"/>
    <w:rsid w:val="00D7777F"/>
    <w:rsid w:val="00D96B3D"/>
    <w:rsid w:val="00D97131"/>
    <w:rsid w:val="00DA028C"/>
    <w:rsid w:val="00DA1632"/>
    <w:rsid w:val="00DA626F"/>
    <w:rsid w:val="00DC3AD2"/>
    <w:rsid w:val="00DE512F"/>
    <w:rsid w:val="00E000FC"/>
    <w:rsid w:val="00E04B41"/>
    <w:rsid w:val="00E10483"/>
    <w:rsid w:val="00E11484"/>
    <w:rsid w:val="00E33CE6"/>
    <w:rsid w:val="00E621A0"/>
    <w:rsid w:val="00E80A09"/>
    <w:rsid w:val="00E80F19"/>
    <w:rsid w:val="00EA70B5"/>
    <w:rsid w:val="00EC0CFA"/>
    <w:rsid w:val="00ED4713"/>
    <w:rsid w:val="00EF5227"/>
    <w:rsid w:val="00EF5CB6"/>
    <w:rsid w:val="00EF75FF"/>
    <w:rsid w:val="00F20E60"/>
    <w:rsid w:val="00F216AD"/>
    <w:rsid w:val="00F230B9"/>
    <w:rsid w:val="00F23ACE"/>
    <w:rsid w:val="00F36E6A"/>
    <w:rsid w:val="00F50201"/>
    <w:rsid w:val="00F55D4B"/>
    <w:rsid w:val="00F57EE2"/>
    <w:rsid w:val="00F57FCC"/>
    <w:rsid w:val="00F61C37"/>
    <w:rsid w:val="00F63C6B"/>
    <w:rsid w:val="00F66F64"/>
    <w:rsid w:val="00F678C7"/>
    <w:rsid w:val="00F7031B"/>
    <w:rsid w:val="00F738C2"/>
    <w:rsid w:val="00F77343"/>
    <w:rsid w:val="00F979E5"/>
    <w:rsid w:val="00FA263A"/>
    <w:rsid w:val="00FC1474"/>
    <w:rsid w:val="00FC308F"/>
    <w:rsid w:val="00FC557E"/>
    <w:rsid w:val="00FD4210"/>
    <w:rsid w:val="00FE049F"/>
    <w:rsid w:val="00FE21BD"/>
    <w:rsid w:val="00FF7C83"/>
    <w:rsid w:val="02208623"/>
    <w:rsid w:val="060A8C5F"/>
    <w:rsid w:val="061827C8"/>
    <w:rsid w:val="0878490F"/>
    <w:rsid w:val="0B648197"/>
    <w:rsid w:val="13B5B069"/>
    <w:rsid w:val="167795BF"/>
    <w:rsid w:val="1DF17181"/>
    <w:rsid w:val="1E1A8DFE"/>
    <w:rsid w:val="1E2EF9E3"/>
    <w:rsid w:val="21252BF6"/>
    <w:rsid w:val="291E9EB0"/>
    <w:rsid w:val="2B72D902"/>
    <w:rsid w:val="2FFF0389"/>
    <w:rsid w:val="31AECF42"/>
    <w:rsid w:val="32029991"/>
    <w:rsid w:val="32E4E58C"/>
    <w:rsid w:val="35472446"/>
    <w:rsid w:val="390D0E95"/>
    <w:rsid w:val="3BB66F0C"/>
    <w:rsid w:val="3E42E6A2"/>
    <w:rsid w:val="3F286998"/>
    <w:rsid w:val="4387EE5A"/>
    <w:rsid w:val="45B225E6"/>
    <w:rsid w:val="49376A60"/>
    <w:rsid w:val="4B605C0D"/>
    <w:rsid w:val="51832C43"/>
    <w:rsid w:val="531453DC"/>
    <w:rsid w:val="5438B099"/>
    <w:rsid w:val="55CD1161"/>
    <w:rsid w:val="576ACF28"/>
    <w:rsid w:val="5882E690"/>
    <w:rsid w:val="602EC6E4"/>
    <w:rsid w:val="60C4B2BF"/>
    <w:rsid w:val="64A806BB"/>
    <w:rsid w:val="665873B8"/>
    <w:rsid w:val="66F87C21"/>
    <w:rsid w:val="683DAD01"/>
    <w:rsid w:val="695B2F10"/>
    <w:rsid w:val="6AD322D4"/>
    <w:rsid w:val="6B3587EE"/>
    <w:rsid w:val="7ABF56CE"/>
    <w:rsid w:val="7C07134D"/>
    <w:rsid w:val="7D4D3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EEE37"/>
  <w15:chartTrackingRefBased/>
  <w15:docId w15:val="{99D49B36-B784-43E3-A24D-E91F4DA8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C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3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1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BFA"/>
  </w:style>
  <w:style w:type="paragraph" w:styleId="Footer">
    <w:name w:val="footer"/>
    <w:basedOn w:val="Normal"/>
    <w:link w:val="FooterChar"/>
    <w:uiPriority w:val="99"/>
    <w:unhideWhenUsed/>
    <w:rsid w:val="008B1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BFA"/>
  </w:style>
  <w:style w:type="paragraph" w:customStyle="1" w:styleId="xmsonormal">
    <w:name w:val="x_msonormal"/>
    <w:basedOn w:val="Normal"/>
    <w:rsid w:val="00402FEF"/>
    <w:pPr>
      <w:spacing w:after="0" w:line="240" w:lineRule="auto"/>
    </w:pPr>
    <w:rPr>
      <w:rFonts w:ascii="Calibri" w:hAnsi="Calibri" w:cs="Calibri"/>
      <w:lang w:eastAsia="en-GB"/>
    </w:rPr>
  </w:style>
  <w:style w:type="paragraph" w:customStyle="1" w:styleId="Default">
    <w:name w:val="Default"/>
    <w:basedOn w:val="Normal"/>
    <w:rsid w:val="0037070A"/>
    <w:pPr>
      <w:autoSpaceDE w:val="0"/>
      <w:autoSpaceDN w:val="0"/>
      <w:spacing w:after="0" w:line="240" w:lineRule="auto"/>
    </w:pPr>
    <w:rPr>
      <w:rFonts w:ascii="Calibri" w:hAnsi="Calibri" w:cs="Calibri"/>
      <w:color w:val="000000"/>
      <w:sz w:val="24"/>
      <w:szCs w:val="24"/>
      <w:lang w:eastAsia="en-GB"/>
    </w:rPr>
  </w:style>
  <w:style w:type="character" w:styleId="Hyperlink">
    <w:name w:val="Hyperlink"/>
    <w:basedOn w:val="DefaultParagraphFont"/>
    <w:uiPriority w:val="99"/>
    <w:unhideWhenUsed/>
    <w:rsid w:val="0014757C"/>
    <w:rPr>
      <w:color w:val="0563C1"/>
      <w:u w:val="single"/>
    </w:rPr>
  </w:style>
  <w:style w:type="character" w:customStyle="1" w:styleId="A4">
    <w:name w:val="A4"/>
    <w:uiPriority w:val="99"/>
    <w:rsid w:val="003C28B9"/>
    <w:rPr>
      <w:rFonts w:cs="Calibre Bold"/>
      <w:color w:val="000000"/>
      <w:sz w:val="64"/>
      <w:szCs w:val="64"/>
    </w:rPr>
  </w:style>
  <w:style w:type="paragraph" w:styleId="ListParagraph">
    <w:name w:val="List Paragraph"/>
    <w:aliases w:val="Bullet 1,Figure_name,Bullet List,FooterText,Dot pt,Liste puces 2,Paragraphe de liste1"/>
    <w:basedOn w:val="Normal"/>
    <w:link w:val="ListParagraphChar"/>
    <w:uiPriority w:val="1"/>
    <w:qFormat/>
    <w:rsid w:val="00DA028C"/>
    <w:pPr>
      <w:ind w:left="720"/>
      <w:contextualSpacing/>
    </w:pPr>
  </w:style>
  <w:style w:type="character" w:customStyle="1" w:styleId="ListParagraphChar">
    <w:name w:val="List Paragraph Char"/>
    <w:aliases w:val="Bullet 1 Char,Figure_name Char,Bullet List Char,FooterText Char,Dot pt Char,Liste puces 2 Char,Paragraphe de liste1 Char"/>
    <w:basedOn w:val="DefaultParagraphFont"/>
    <w:link w:val="ListParagraph"/>
    <w:uiPriority w:val="1"/>
    <w:locked/>
    <w:rsid w:val="00DA028C"/>
  </w:style>
  <w:style w:type="paragraph" w:styleId="FootnoteText">
    <w:name w:val="footnote text"/>
    <w:basedOn w:val="Normal"/>
    <w:link w:val="FootnoteTextChar"/>
    <w:uiPriority w:val="99"/>
    <w:unhideWhenUsed/>
    <w:rsid w:val="00DA028C"/>
    <w:pPr>
      <w:spacing w:after="0" w:line="240" w:lineRule="auto"/>
    </w:pPr>
    <w:rPr>
      <w:sz w:val="20"/>
      <w:szCs w:val="20"/>
    </w:rPr>
  </w:style>
  <w:style w:type="character" w:customStyle="1" w:styleId="FootnoteTextChar">
    <w:name w:val="Footnote Text Char"/>
    <w:basedOn w:val="DefaultParagraphFont"/>
    <w:link w:val="FootnoteText"/>
    <w:uiPriority w:val="99"/>
    <w:rsid w:val="00DA028C"/>
    <w:rPr>
      <w:sz w:val="20"/>
      <w:szCs w:val="20"/>
    </w:rPr>
  </w:style>
  <w:style w:type="character" w:styleId="FootnoteReference">
    <w:name w:val="footnote reference"/>
    <w:basedOn w:val="DefaultParagraphFont"/>
    <w:uiPriority w:val="99"/>
    <w:semiHidden/>
    <w:unhideWhenUsed/>
    <w:rsid w:val="00DA028C"/>
    <w:rPr>
      <w:vertAlign w:val="superscript"/>
    </w:rPr>
  </w:style>
  <w:style w:type="character" w:styleId="CommentReference">
    <w:name w:val="annotation reference"/>
    <w:basedOn w:val="DefaultParagraphFont"/>
    <w:uiPriority w:val="99"/>
    <w:semiHidden/>
    <w:unhideWhenUsed/>
    <w:rsid w:val="007F4800"/>
    <w:rPr>
      <w:sz w:val="16"/>
      <w:szCs w:val="16"/>
    </w:rPr>
  </w:style>
  <w:style w:type="paragraph" w:styleId="CommentText">
    <w:name w:val="annotation text"/>
    <w:basedOn w:val="Normal"/>
    <w:link w:val="CommentTextChar"/>
    <w:uiPriority w:val="99"/>
    <w:semiHidden/>
    <w:unhideWhenUsed/>
    <w:rsid w:val="007F4800"/>
    <w:pPr>
      <w:spacing w:line="240" w:lineRule="auto"/>
    </w:pPr>
    <w:rPr>
      <w:sz w:val="20"/>
      <w:szCs w:val="20"/>
    </w:rPr>
  </w:style>
  <w:style w:type="character" w:customStyle="1" w:styleId="CommentTextChar">
    <w:name w:val="Comment Text Char"/>
    <w:basedOn w:val="DefaultParagraphFont"/>
    <w:link w:val="CommentText"/>
    <w:uiPriority w:val="99"/>
    <w:semiHidden/>
    <w:rsid w:val="007F4800"/>
    <w:rPr>
      <w:sz w:val="20"/>
      <w:szCs w:val="20"/>
    </w:rPr>
  </w:style>
  <w:style w:type="paragraph" w:styleId="CommentSubject">
    <w:name w:val="annotation subject"/>
    <w:basedOn w:val="CommentText"/>
    <w:next w:val="CommentText"/>
    <w:link w:val="CommentSubjectChar"/>
    <w:uiPriority w:val="99"/>
    <w:semiHidden/>
    <w:unhideWhenUsed/>
    <w:rsid w:val="007F4800"/>
    <w:rPr>
      <w:b/>
      <w:bCs/>
    </w:rPr>
  </w:style>
  <w:style w:type="character" w:customStyle="1" w:styleId="CommentSubjectChar">
    <w:name w:val="Comment Subject Char"/>
    <w:basedOn w:val="CommentTextChar"/>
    <w:link w:val="CommentSubject"/>
    <w:uiPriority w:val="99"/>
    <w:semiHidden/>
    <w:rsid w:val="007F4800"/>
    <w:rPr>
      <w:b/>
      <w:bCs/>
      <w:sz w:val="20"/>
      <w:szCs w:val="20"/>
    </w:rPr>
  </w:style>
  <w:style w:type="character" w:styleId="UnresolvedMention">
    <w:name w:val="Unresolved Mention"/>
    <w:basedOn w:val="DefaultParagraphFont"/>
    <w:uiPriority w:val="99"/>
    <w:semiHidden/>
    <w:unhideWhenUsed/>
    <w:rsid w:val="00566CBF"/>
    <w:rPr>
      <w:color w:val="605E5C"/>
      <w:shd w:val="clear" w:color="auto" w:fill="E1DFDD"/>
    </w:rPr>
  </w:style>
  <w:style w:type="paragraph" w:styleId="Revision">
    <w:name w:val="Revision"/>
    <w:hidden/>
    <w:uiPriority w:val="99"/>
    <w:semiHidden/>
    <w:rsid w:val="003B0CA5"/>
    <w:pPr>
      <w:spacing w:after="0" w:line="240" w:lineRule="auto"/>
    </w:pPr>
  </w:style>
  <w:style w:type="character" w:styleId="FollowedHyperlink">
    <w:name w:val="FollowedHyperlink"/>
    <w:basedOn w:val="DefaultParagraphFont"/>
    <w:uiPriority w:val="99"/>
    <w:semiHidden/>
    <w:unhideWhenUsed/>
    <w:rsid w:val="00BB5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5184">
      <w:bodyDiv w:val="1"/>
      <w:marLeft w:val="0"/>
      <w:marRight w:val="0"/>
      <w:marTop w:val="0"/>
      <w:marBottom w:val="0"/>
      <w:divBdr>
        <w:top w:val="none" w:sz="0" w:space="0" w:color="auto"/>
        <w:left w:val="none" w:sz="0" w:space="0" w:color="auto"/>
        <w:bottom w:val="none" w:sz="0" w:space="0" w:color="auto"/>
        <w:right w:val="none" w:sz="0" w:space="0" w:color="auto"/>
      </w:divBdr>
    </w:div>
    <w:div w:id="157041076">
      <w:bodyDiv w:val="1"/>
      <w:marLeft w:val="0"/>
      <w:marRight w:val="0"/>
      <w:marTop w:val="0"/>
      <w:marBottom w:val="0"/>
      <w:divBdr>
        <w:top w:val="none" w:sz="0" w:space="0" w:color="auto"/>
        <w:left w:val="none" w:sz="0" w:space="0" w:color="auto"/>
        <w:bottom w:val="none" w:sz="0" w:space="0" w:color="auto"/>
        <w:right w:val="none" w:sz="0" w:space="0" w:color="auto"/>
      </w:divBdr>
    </w:div>
    <w:div w:id="224485732">
      <w:bodyDiv w:val="1"/>
      <w:marLeft w:val="0"/>
      <w:marRight w:val="0"/>
      <w:marTop w:val="0"/>
      <w:marBottom w:val="0"/>
      <w:divBdr>
        <w:top w:val="none" w:sz="0" w:space="0" w:color="auto"/>
        <w:left w:val="none" w:sz="0" w:space="0" w:color="auto"/>
        <w:bottom w:val="none" w:sz="0" w:space="0" w:color="auto"/>
        <w:right w:val="none" w:sz="0" w:space="0" w:color="auto"/>
      </w:divBdr>
    </w:div>
    <w:div w:id="452478210">
      <w:bodyDiv w:val="1"/>
      <w:marLeft w:val="0"/>
      <w:marRight w:val="0"/>
      <w:marTop w:val="0"/>
      <w:marBottom w:val="0"/>
      <w:divBdr>
        <w:top w:val="none" w:sz="0" w:space="0" w:color="auto"/>
        <w:left w:val="none" w:sz="0" w:space="0" w:color="auto"/>
        <w:bottom w:val="none" w:sz="0" w:space="0" w:color="auto"/>
        <w:right w:val="none" w:sz="0" w:space="0" w:color="auto"/>
      </w:divBdr>
    </w:div>
    <w:div w:id="585923010">
      <w:bodyDiv w:val="1"/>
      <w:marLeft w:val="0"/>
      <w:marRight w:val="0"/>
      <w:marTop w:val="0"/>
      <w:marBottom w:val="0"/>
      <w:divBdr>
        <w:top w:val="none" w:sz="0" w:space="0" w:color="auto"/>
        <w:left w:val="none" w:sz="0" w:space="0" w:color="auto"/>
        <w:bottom w:val="none" w:sz="0" w:space="0" w:color="auto"/>
        <w:right w:val="none" w:sz="0" w:space="0" w:color="auto"/>
      </w:divBdr>
    </w:div>
    <w:div w:id="647054131">
      <w:bodyDiv w:val="1"/>
      <w:marLeft w:val="0"/>
      <w:marRight w:val="0"/>
      <w:marTop w:val="0"/>
      <w:marBottom w:val="0"/>
      <w:divBdr>
        <w:top w:val="none" w:sz="0" w:space="0" w:color="auto"/>
        <w:left w:val="none" w:sz="0" w:space="0" w:color="auto"/>
        <w:bottom w:val="none" w:sz="0" w:space="0" w:color="auto"/>
        <w:right w:val="none" w:sz="0" w:space="0" w:color="auto"/>
      </w:divBdr>
    </w:div>
    <w:div w:id="990908428">
      <w:bodyDiv w:val="1"/>
      <w:marLeft w:val="0"/>
      <w:marRight w:val="0"/>
      <w:marTop w:val="0"/>
      <w:marBottom w:val="0"/>
      <w:divBdr>
        <w:top w:val="none" w:sz="0" w:space="0" w:color="auto"/>
        <w:left w:val="none" w:sz="0" w:space="0" w:color="auto"/>
        <w:bottom w:val="none" w:sz="0" w:space="0" w:color="auto"/>
        <w:right w:val="none" w:sz="0" w:space="0" w:color="auto"/>
      </w:divBdr>
    </w:div>
    <w:div w:id="1321041669">
      <w:bodyDiv w:val="1"/>
      <w:marLeft w:val="0"/>
      <w:marRight w:val="0"/>
      <w:marTop w:val="0"/>
      <w:marBottom w:val="0"/>
      <w:divBdr>
        <w:top w:val="none" w:sz="0" w:space="0" w:color="auto"/>
        <w:left w:val="none" w:sz="0" w:space="0" w:color="auto"/>
        <w:bottom w:val="none" w:sz="0" w:space="0" w:color="auto"/>
        <w:right w:val="none" w:sz="0" w:space="0" w:color="auto"/>
      </w:divBdr>
    </w:div>
    <w:div w:id="1366251574">
      <w:bodyDiv w:val="1"/>
      <w:marLeft w:val="0"/>
      <w:marRight w:val="0"/>
      <w:marTop w:val="0"/>
      <w:marBottom w:val="0"/>
      <w:divBdr>
        <w:top w:val="none" w:sz="0" w:space="0" w:color="auto"/>
        <w:left w:val="none" w:sz="0" w:space="0" w:color="auto"/>
        <w:bottom w:val="none" w:sz="0" w:space="0" w:color="auto"/>
        <w:right w:val="none" w:sz="0" w:space="0" w:color="auto"/>
      </w:divBdr>
    </w:div>
    <w:div w:id="1381322380">
      <w:bodyDiv w:val="1"/>
      <w:marLeft w:val="0"/>
      <w:marRight w:val="0"/>
      <w:marTop w:val="0"/>
      <w:marBottom w:val="0"/>
      <w:divBdr>
        <w:top w:val="none" w:sz="0" w:space="0" w:color="auto"/>
        <w:left w:val="none" w:sz="0" w:space="0" w:color="auto"/>
        <w:bottom w:val="none" w:sz="0" w:space="0" w:color="auto"/>
        <w:right w:val="none" w:sz="0" w:space="0" w:color="auto"/>
      </w:divBdr>
    </w:div>
    <w:div w:id="1921333597">
      <w:bodyDiv w:val="1"/>
      <w:marLeft w:val="0"/>
      <w:marRight w:val="0"/>
      <w:marTop w:val="0"/>
      <w:marBottom w:val="0"/>
      <w:divBdr>
        <w:top w:val="none" w:sz="0" w:space="0" w:color="auto"/>
        <w:left w:val="none" w:sz="0" w:space="0" w:color="auto"/>
        <w:bottom w:val="none" w:sz="0" w:space="0" w:color="auto"/>
        <w:right w:val="none" w:sz="0" w:space="0" w:color="auto"/>
      </w:divBdr>
    </w:div>
    <w:div w:id="211335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5percentclub.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ennon-group.co.uk/sustainabilit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C4E5434E86D74C9306E77365422C0A" ma:contentTypeVersion="17" ma:contentTypeDescription="Create a new document." ma:contentTypeScope="" ma:versionID="0f7c3f3d7e1ddc5cd69c69b8bdd41b47">
  <xsd:schema xmlns:xsd="http://www.w3.org/2001/XMLSchema" xmlns:xs="http://www.w3.org/2001/XMLSchema" xmlns:p="http://schemas.microsoft.com/office/2006/metadata/properties" xmlns:ns1="http://schemas.microsoft.com/sharepoint/v3" xmlns:ns2="be410323-e825-441e-9d32-1b20a4966304" xmlns:ns3="5a23c17b-cc63-41e5-ab28-26bea337a6d5" targetNamespace="http://schemas.microsoft.com/office/2006/metadata/properties" ma:root="true" ma:fieldsID="cd73769f9c13565d5860d7040244e610" ns1:_="" ns2:_="" ns3:_="">
    <xsd:import namespace="http://schemas.microsoft.com/sharepoint/v3"/>
    <xsd:import namespace="be410323-e825-441e-9d32-1b20a4966304"/>
    <xsd:import namespace="5a23c17b-cc63-41e5-ab28-26bea337a6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10323-e825-441e-9d32-1b20a4966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37e0ed-180d-4bcb-abcf-d5c38f7525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23c17b-cc63-41e5-ab28-26bea337a6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146974a-891f-4b8b-af58-9492a56945f7}" ma:internalName="TaxCatchAll" ma:showField="CatchAllData" ma:web="5a23c17b-cc63-41e5-ab28-26bea337a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410323-e825-441e-9d32-1b20a4966304">
      <Terms xmlns="http://schemas.microsoft.com/office/infopath/2007/PartnerControls"/>
    </lcf76f155ced4ddcb4097134ff3c332f>
    <TaxCatchAll xmlns="5a23c17b-cc63-41e5-ab28-26bea337a6d5"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ECC70-0260-4BFB-9274-0FA17E793C81}">
  <ds:schemaRefs>
    <ds:schemaRef ds:uri="http://schemas.microsoft.com/sharepoint/v3/contenttype/forms"/>
  </ds:schemaRefs>
</ds:datastoreItem>
</file>

<file path=customXml/itemProps2.xml><?xml version="1.0" encoding="utf-8"?>
<ds:datastoreItem xmlns:ds="http://schemas.openxmlformats.org/officeDocument/2006/customXml" ds:itemID="{1425C5D3-4B8C-48A5-91E4-DB34AED5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410323-e825-441e-9d32-1b20a4966304"/>
    <ds:schemaRef ds:uri="5a23c17b-cc63-41e5-ab28-26bea337a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F3B239-2252-496B-8997-371B3D928264}">
  <ds:schemaRefs>
    <ds:schemaRef ds:uri="http://schemas.microsoft.com/office/2006/metadata/properties"/>
    <ds:schemaRef ds:uri="http://schemas.microsoft.com/office/infopath/2007/PartnerControls"/>
    <ds:schemaRef ds:uri="be410323-e825-441e-9d32-1b20a4966304"/>
    <ds:schemaRef ds:uri="5a23c17b-cc63-41e5-ab28-26bea337a6d5"/>
    <ds:schemaRef ds:uri="http://schemas.microsoft.com/sharepoint/v3"/>
  </ds:schemaRefs>
</ds:datastoreItem>
</file>

<file path=customXml/itemProps4.xml><?xml version="1.0" encoding="utf-8"?>
<ds:datastoreItem xmlns:ds="http://schemas.openxmlformats.org/officeDocument/2006/customXml" ds:itemID="{4CC6E04B-6386-4916-88CE-D1B5F6801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1137</Words>
  <Characters>6417</Characters>
  <Application>Microsoft Office Word</Application>
  <DocSecurity>0</DocSecurity>
  <Lines>229</Lines>
  <Paragraphs>175</Paragraphs>
  <ScaleCrop>false</ScaleCrop>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Crisp, Olivia LM</dc:creator>
  <cp:keywords/>
  <dc:description/>
  <cp:lastModifiedBy>Bowlby, Freddie</cp:lastModifiedBy>
  <cp:revision>6</cp:revision>
  <cp:lastPrinted>2023-03-28T09:03:00Z</cp:lastPrinted>
  <dcterms:created xsi:type="dcterms:W3CDTF">2026-02-13T09:33:00Z</dcterms:created>
  <dcterms:modified xsi:type="dcterms:W3CDTF">2026-06-03T12:19:00Z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0x01010099C4E5434E86D74C9306E77365422C0A</vt:lpwstr>
  </property>
  <property fmtid="{D5CDD505-2E9C-101B-9397-08002B2CF9AE}" pid="3" name="ClassificationContentMarkingFooterShapeIds">
    <vt:lpwstr>7cdea670,67e92105,453536c5</vt:lpwstr>
  </property>
  <property fmtid="{D5CDD505-2E9C-101B-9397-08002B2CF9AE}" pid="4" name="ClassificationContentMarkingFooterFontProps">
    <vt:lpwstr>#000000,10,Calibri</vt:lpwstr>
  </property>
  <property fmtid="{D5CDD505-2E9C-101B-9397-08002B2CF9AE}" pid="5" name="ClassificationContentMarkingFooterText">
    <vt:lpwstr>Classification: BUSINESS</vt:lpwstr>
  </property>
  <property fmtid="{D5CDD505-2E9C-101B-9397-08002B2CF9AE}" pid="6" name="MSIP_Label_20ad2324-fd97-41a5-8822-ae85afc1f7c6_Enabled">
    <vt:lpwstr>true</vt:lpwstr>
  </property>
  <property fmtid="{D5CDD505-2E9C-101B-9397-08002B2CF9AE}" pid="7" name="MSIP_Label_20ad2324-fd97-41a5-8822-ae85afc1f7c6_SetDate">
    <vt:lpwstr>2025-03-12T10:05:14Z</vt:lpwstr>
  </property>
  <property fmtid="{D5CDD505-2E9C-101B-9397-08002B2CF9AE}" pid="8" name="MSIP_Label_20ad2324-fd97-41a5-8822-ae85afc1f7c6_Method">
    <vt:lpwstr>Standard</vt:lpwstr>
  </property>
  <property fmtid="{D5CDD505-2E9C-101B-9397-08002B2CF9AE}" pid="9" name="MSIP_Label_20ad2324-fd97-41a5-8822-ae85afc1f7c6_Name">
    <vt:lpwstr>Business_Sublabel</vt:lpwstr>
  </property>
  <property fmtid="{D5CDD505-2E9C-101B-9397-08002B2CF9AE}" pid="10" name="MSIP_Label_20ad2324-fd97-41a5-8822-ae85afc1f7c6_SiteId">
    <vt:lpwstr>25d26f64-e150-4587-8705-aefeb42a308c</vt:lpwstr>
  </property>
  <property fmtid="{D5CDD505-2E9C-101B-9397-08002B2CF9AE}" pid="11" name="MSIP_Label_20ad2324-fd97-41a5-8822-ae85afc1f7c6_ActionId">
    <vt:lpwstr>a34fb8fd-65fb-4190-aff1-d863ac34cc7e</vt:lpwstr>
  </property>
  <property fmtid="{D5CDD505-2E9C-101B-9397-08002B2CF9AE}" pid="12" name="MSIP_Label_20ad2324-fd97-41a5-8822-ae85afc1f7c6_ContentBits">
    <vt:lpwstr>2</vt:lpwstr>
  </property>
  <property fmtid="{D5CDD505-2E9C-101B-9397-08002B2CF9AE}" pid="13" name="MediaServiceImageTags">
    <vt:lpwstr/>
  </property>
  <property fmtid="{D5CDD505-2E9C-101B-9397-08002B2CF9AE}" pid="14" name="docLang">
    <vt:lpwstr>en</vt:lpwstr>
  </property>
</Properties>
</file>